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Categoria:</w:t>
      </w:r>
      <w:r w:rsidRPr="001263ED">
        <w:rPr>
          <w:rFonts w:cs="Arial"/>
          <w:szCs w:val="24"/>
        </w:rPr>
        <w:t xml:space="preserve"> </w:t>
      </w:r>
      <w:r w:rsidR="006A1912">
        <w:rPr>
          <w:rFonts w:cs="Arial"/>
          <w:szCs w:val="24"/>
        </w:rPr>
        <w:t>Melhoria do Gasto Público</w:t>
      </w:r>
    </w:p>
    <w:p w:rsidR="009932D7" w:rsidRPr="00BA0A90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Título da iniciativa:</w:t>
      </w:r>
      <w:r w:rsidR="00BA0A90">
        <w:rPr>
          <w:rFonts w:cs="Arial"/>
          <w:b/>
          <w:szCs w:val="24"/>
        </w:rPr>
        <w:t xml:space="preserve"> </w:t>
      </w:r>
      <w:r w:rsidR="00BA0A90" w:rsidRPr="00BA0A90">
        <w:rPr>
          <w:rFonts w:cs="Arial"/>
          <w:szCs w:val="24"/>
        </w:rPr>
        <w:t xml:space="preserve">DESCONTO ADICIONAL </w:t>
      </w:r>
      <w:r w:rsidR="00BA0A90">
        <w:rPr>
          <w:rFonts w:cs="Arial"/>
          <w:szCs w:val="24"/>
        </w:rPr>
        <w:t>POR GANHO DE ESCALA</w:t>
      </w: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Instituição:</w:t>
      </w:r>
      <w:r w:rsidRPr="001263ED">
        <w:rPr>
          <w:rFonts w:cs="Arial"/>
          <w:szCs w:val="24"/>
        </w:rPr>
        <w:t xml:space="preserve"> DERSA – Desenvolvimento Rodoviário S</w:t>
      </w:r>
      <w:r>
        <w:rPr>
          <w:rFonts w:cs="Arial"/>
          <w:szCs w:val="24"/>
        </w:rPr>
        <w:t>/</w:t>
      </w:r>
      <w:r w:rsidRPr="001263ED">
        <w:rPr>
          <w:rFonts w:cs="Arial"/>
          <w:szCs w:val="24"/>
        </w:rPr>
        <w:t>A.</w:t>
      </w: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Nome do responsável:</w:t>
      </w:r>
      <w:r w:rsidRPr="001263ED">
        <w:rPr>
          <w:rFonts w:cs="Arial"/>
          <w:szCs w:val="24"/>
        </w:rPr>
        <w:t xml:space="preserve"> Laurence Casagrande Lourenço</w:t>
      </w:r>
    </w:p>
    <w:p w:rsidR="009932D7" w:rsidRPr="00245720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245720">
        <w:rPr>
          <w:rFonts w:cs="Arial"/>
          <w:b/>
          <w:szCs w:val="24"/>
        </w:rPr>
        <w:t>Nomes dos membros da equipe:</w:t>
      </w:r>
      <w:r w:rsidRPr="001263ED">
        <w:rPr>
          <w:rFonts w:cs="Arial"/>
          <w:b/>
          <w:szCs w:val="24"/>
        </w:rPr>
        <w:t xml:space="preserve"> </w:t>
      </w:r>
      <w:r w:rsidR="00245720" w:rsidRPr="00245720">
        <w:rPr>
          <w:rFonts w:cs="Arial"/>
          <w:szCs w:val="24"/>
        </w:rPr>
        <w:t>Pedro da Silv</w:t>
      </w:r>
      <w:r w:rsidR="00245720">
        <w:rPr>
          <w:rFonts w:cs="Arial"/>
          <w:szCs w:val="24"/>
        </w:rPr>
        <w:t xml:space="preserve">a, João Henrique Poiani, Benjamim Venâncio de Melo Júnior, Silvia Cristina </w:t>
      </w:r>
      <w:proofErr w:type="spellStart"/>
      <w:r w:rsidR="00245720">
        <w:rPr>
          <w:rFonts w:cs="Arial"/>
          <w:szCs w:val="24"/>
        </w:rPr>
        <w:t>A</w:t>
      </w:r>
      <w:r w:rsidR="00F37D45">
        <w:rPr>
          <w:rFonts w:cs="Arial"/>
          <w:szCs w:val="24"/>
        </w:rPr>
        <w:t>rena</w:t>
      </w:r>
      <w:r w:rsidR="00245720">
        <w:rPr>
          <w:rFonts w:cs="Arial"/>
          <w:szCs w:val="24"/>
        </w:rPr>
        <w:t>ga</w:t>
      </w:r>
      <w:proofErr w:type="spellEnd"/>
      <w:r w:rsidR="00245720">
        <w:rPr>
          <w:rFonts w:cs="Arial"/>
          <w:szCs w:val="24"/>
        </w:rPr>
        <w:t xml:space="preserve"> Menezes, Enio dos Santos Monteiro, Lívia de Senne Badaró Mubarak, Evandro Biancarelli</w:t>
      </w:r>
      <w:proofErr w:type="gramStart"/>
      <w:r w:rsidR="00245720">
        <w:rPr>
          <w:rFonts w:cs="Arial"/>
          <w:szCs w:val="24"/>
        </w:rPr>
        <w:t>,</w:t>
      </w:r>
      <w:r w:rsidR="00245720" w:rsidRPr="00CC6122">
        <w:rPr>
          <w:rFonts w:cs="Arial"/>
          <w:szCs w:val="24"/>
        </w:rPr>
        <w:t>.</w:t>
      </w:r>
      <w:proofErr w:type="gramEnd"/>
    </w:p>
    <w:p w:rsidR="00245720" w:rsidRPr="00245720" w:rsidRDefault="00245720" w:rsidP="009932D7">
      <w:pPr>
        <w:spacing w:after="120" w:line="288" w:lineRule="auto"/>
        <w:jc w:val="both"/>
        <w:rPr>
          <w:rFonts w:cs="Arial"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b/>
          <w:szCs w:val="24"/>
        </w:rPr>
      </w:pPr>
    </w:p>
    <w:p w:rsidR="0002790C" w:rsidRPr="001263ED" w:rsidRDefault="0002790C" w:rsidP="0002790C">
      <w:pPr>
        <w:spacing w:after="120" w:line="288" w:lineRule="auto"/>
        <w:jc w:val="both"/>
        <w:rPr>
          <w:rFonts w:cs="Arial"/>
          <w:b/>
          <w:szCs w:val="24"/>
        </w:rPr>
      </w:pPr>
      <w:r w:rsidRPr="001263ED">
        <w:rPr>
          <w:rFonts w:cs="Arial"/>
          <w:b/>
          <w:szCs w:val="24"/>
        </w:rPr>
        <w:t xml:space="preserve">Problema Enfrentado ou </w:t>
      </w:r>
      <w:r w:rsidRPr="00D30605">
        <w:rPr>
          <w:rFonts w:cs="Arial"/>
          <w:b/>
          <w:szCs w:val="24"/>
          <w:u w:val="single"/>
        </w:rPr>
        <w:t>oportunidade percebida</w:t>
      </w:r>
      <w:r w:rsidRPr="001263ED">
        <w:rPr>
          <w:rFonts w:cs="Arial"/>
          <w:b/>
          <w:szCs w:val="24"/>
        </w:rPr>
        <w:t xml:space="preserve"> </w:t>
      </w:r>
    </w:p>
    <w:p w:rsidR="009932D7" w:rsidRDefault="009932D7" w:rsidP="009932D7">
      <w:pPr>
        <w:spacing w:after="120" w:line="288" w:lineRule="auto"/>
        <w:jc w:val="both"/>
        <w:rPr>
          <w:rFonts w:cs="Arial"/>
          <w:b/>
          <w:szCs w:val="24"/>
        </w:rPr>
      </w:pPr>
    </w:p>
    <w:p w:rsidR="00EB2EC0" w:rsidRDefault="00EB2EC0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DERSA - Desenvolvimento Rodoviário S/A é uma companhia controlada pelo Governo do Estado de São Paulo que tem como missão oferecer </w:t>
      </w:r>
      <w:proofErr w:type="gramStart"/>
      <w:r>
        <w:rPr>
          <w:rFonts w:cs="Arial"/>
          <w:szCs w:val="24"/>
        </w:rPr>
        <w:t>“soluções em infraestrutura</w:t>
      </w:r>
      <w:proofErr w:type="gramEnd"/>
      <w:r>
        <w:rPr>
          <w:rFonts w:cs="Arial"/>
          <w:szCs w:val="24"/>
        </w:rPr>
        <w:t xml:space="preserve"> de transporte e logística”</w:t>
      </w:r>
      <w:r w:rsidR="002C3AA2">
        <w:rPr>
          <w:rFonts w:cs="Arial"/>
          <w:szCs w:val="24"/>
        </w:rPr>
        <w:t xml:space="preserve"> que </w:t>
      </w:r>
      <w:r w:rsidR="00A05BAF">
        <w:rPr>
          <w:rFonts w:cs="Arial"/>
          <w:szCs w:val="24"/>
        </w:rPr>
        <w:t>levem a</w:t>
      </w:r>
      <w:r w:rsidR="002C3AA2">
        <w:rPr>
          <w:rFonts w:cs="Arial"/>
          <w:szCs w:val="24"/>
        </w:rPr>
        <w:t>o “desenvolvimento de São Paulo e do Brasil”</w:t>
      </w:r>
      <w:r>
        <w:rPr>
          <w:rFonts w:cs="Arial"/>
          <w:szCs w:val="24"/>
        </w:rPr>
        <w:t xml:space="preserve">. </w:t>
      </w:r>
      <w:r w:rsidR="008F2118">
        <w:rPr>
          <w:rFonts w:cs="Arial"/>
          <w:szCs w:val="24"/>
        </w:rPr>
        <w:t>A</w:t>
      </w:r>
      <w:r w:rsidR="00A0060E">
        <w:rPr>
          <w:rFonts w:cs="Arial"/>
          <w:szCs w:val="24"/>
        </w:rPr>
        <w:t>o longo de sua história,</w:t>
      </w:r>
      <w:r>
        <w:rPr>
          <w:rFonts w:cs="Arial"/>
          <w:szCs w:val="24"/>
        </w:rPr>
        <w:t xml:space="preserve"> empresa </w:t>
      </w:r>
      <w:r w:rsidR="00A0060E">
        <w:rPr>
          <w:rFonts w:cs="Arial"/>
          <w:szCs w:val="24"/>
        </w:rPr>
        <w:t xml:space="preserve">tem </w:t>
      </w:r>
      <w:r>
        <w:rPr>
          <w:rFonts w:cs="Arial"/>
          <w:szCs w:val="24"/>
        </w:rPr>
        <w:t>trabalha</w:t>
      </w:r>
      <w:r w:rsidR="00A0060E">
        <w:rPr>
          <w:rFonts w:cs="Arial"/>
          <w:szCs w:val="24"/>
        </w:rPr>
        <w:t>do</w:t>
      </w:r>
      <w:r>
        <w:rPr>
          <w:rFonts w:cs="Arial"/>
          <w:szCs w:val="24"/>
        </w:rPr>
        <w:t xml:space="preserve"> em cooperação com outros órgãos do Estado</w:t>
      </w:r>
      <w:r w:rsidR="008F2118">
        <w:rPr>
          <w:rFonts w:cs="Arial"/>
          <w:szCs w:val="24"/>
        </w:rPr>
        <w:t>, União e Municípios</w:t>
      </w:r>
      <w:r>
        <w:rPr>
          <w:rFonts w:cs="Arial"/>
          <w:szCs w:val="24"/>
        </w:rPr>
        <w:t xml:space="preserve">, disponibilizando sua expertise técnica para </w:t>
      </w:r>
      <w:r w:rsidR="008F2118">
        <w:rPr>
          <w:rFonts w:cs="Arial"/>
          <w:szCs w:val="24"/>
        </w:rPr>
        <w:t>viabilizar</w:t>
      </w:r>
      <w:r>
        <w:rPr>
          <w:rFonts w:cs="Arial"/>
          <w:szCs w:val="24"/>
        </w:rPr>
        <w:t xml:space="preserve"> projetos </w:t>
      </w:r>
      <w:r w:rsidR="008F2118">
        <w:rPr>
          <w:rFonts w:cs="Arial"/>
          <w:szCs w:val="24"/>
        </w:rPr>
        <w:t xml:space="preserve">viários </w:t>
      </w:r>
      <w:r>
        <w:rPr>
          <w:rFonts w:cs="Arial"/>
          <w:szCs w:val="24"/>
        </w:rPr>
        <w:t>de alta complexidade</w:t>
      </w:r>
      <w:r w:rsidR="008F2118">
        <w:rPr>
          <w:rFonts w:cs="Arial"/>
          <w:szCs w:val="24"/>
        </w:rPr>
        <w:t>.</w:t>
      </w:r>
      <w:r w:rsidR="00A0060E">
        <w:rPr>
          <w:rFonts w:cs="Arial"/>
          <w:szCs w:val="24"/>
        </w:rPr>
        <w:t xml:space="preserve"> Foram e</w:t>
      </w:r>
      <w:r w:rsidR="008F2118">
        <w:rPr>
          <w:rFonts w:cs="Arial"/>
          <w:szCs w:val="24"/>
        </w:rPr>
        <w:t>ssas parcerias</w:t>
      </w:r>
      <w:r w:rsidR="00A0060E">
        <w:rPr>
          <w:rFonts w:cs="Arial"/>
          <w:szCs w:val="24"/>
        </w:rPr>
        <w:t xml:space="preserve"> que</w:t>
      </w:r>
      <w:r w:rsidR="008F2118">
        <w:rPr>
          <w:rFonts w:cs="Arial"/>
          <w:szCs w:val="24"/>
        </w:rPr>
        <w:t xml:space="preserve"> permitiram a implantação dos trechos Oeste e Sul do Rodoanel Mario Covas (parceria com o Ministério dos Transportes e </w:t>
      </w:r>
      <w:r w:rsidR="0073024A">
        <w:rPr>
          <w:rFonts w:cs="Arial"/>
          <w:szCs w:val="24"/>
        </w:rPr>
        <w:t>Departamento Nacional de Infraestrutura de Transportes – D</w:t>
      </w:r>
      <w:r w:rsidR="008F2118">
        <w:rPr>
          <w:rFonts w:cs="Arial"/>
          <w:szCs w:val="24"/>
        </w:rPr>
        <w:t xml:space="preserve">NIT), o Complexo Viário Jacu-Pêssego Sul (com o </w:t>
      </w:r>
      <w:r w:rsidR="0073024A">
        <w:rPr>
          <w:rFonts w:cs="Arial"/>
          <w:szCs w:val="24"/>
        </w:rPr>
        <w:t xml:space="preserve">Departamento de Estradas de Rodagem – </w:t>
      </w:r>
      <w:r w:rsidR="008F2118">
        <w:rPr>
          <w:rFonts w:cs="Arial"/>
          <w:szCs w:val="24"/>
        </w:rPr>
        <w:t>DER e prefeituras de São Paulo e Mauá)</w:t>
      </w:r>
      <w:r w:rsidR="00A0060E">
        <w:rPr>
          <w:rFonts w:cs="Arial"/>
          <w:szCs w:val="24"/>
        </w:rPr>
        <w:t xml:space="preserve"> </w:t>
      </w:r>
      <w:r w:rsidR="0073024A">
        <w:rPr>
          <w:rFonts w:cs="Arial"/>
          <w:szCs w:val="24"/>
        </w:rPr>
        <w:t>e</w:t>
      </w:r>
      <w:r w:rsidR="00A0060E">
        <w:rPr>
          <w:rFonts w:cs="Arial"/>
          <w:szCs w:val="24"/>
        </w:rPr>
        <w:t xml:space="preserve"> </w:t>
      </w:r>
      <w:r w:rsidR="008F2118">
        <w:rPr>
          <w:rFonts w:cs="Arial"/>
          <w:szCs w:val="24"/>
        </w:rPr>
        <w:t>a Nova Marginal do Tietê (com DER e prefeitura de São Paulo)</w:t>
      </w:r>
      <w:r w:rsidR="0073024A">
        <w:rPr>
          <w:rFonts w:cs="Arial"/>
          <w:szCs w:val="24"/>
        </w:rPr>
        <w:t>, para citar os mais recentes</w:t>
      </w:r>
      <w:r w:rsidR="008F2118">
        <w:rPr>
          <w:rFonts w:cs="Arial"/>
          <w:szCs w:val="24"/>
        </w:rPr>
        <w:t>.</w:t>
      </w:r>
      <w:r w:rsidR="00A0060E">
        <w:rPr>
          <w:rFonts w:cs="Arial"/>
          <w:szCs w:val="24"/>
        </w:rPr>
        <w:t xml:space="preserve"> Atualmente, empreendimentos em andamento como o Rodoanel Norte (</w:t>
      </w:r>
      <w:r w:rsidR="00251F76">
        <w:rPr>
          <w:rFonts w:cs="Arial"/>
          <w:szCs w:val="24"/>
        </w:rPr>
        <w:t>Ministério dos Transportes, DNIT</w:t>
      </w:r>
      <w:r w:rsidR="0073024A">
        <w:rPr>
          <w:rFonts w:cs="Arial"/>
          <w:szCs w:val="24"/>
        </w:rPr>
        <w:t>,</w:t>
      </w:r>
      <w:r w:rsidR="00251F76">
        <w:rPr>
          <w:rFonts w:cs="Arial"/>
          <w:szCs w:val="24"/>
        </w:rPr>
        <w:t xml:space="preserve"> DER</w:t>
      </w:r>
      <w:r w:rsidR="0073024A">
        <w:rPr>
          <w:rFonts w:cs="Arial"/>
          <w:szCs w:val="24"/>
        </w:rPr>
        <w:t xml:space="preserve"> </w:t>
      </w:r>
      <w:r w:rsidR="0073024A" w:rsidRPr="00F37D45">
        <w:rPr>
          <w:rFonts w:cs="Arial"/>
          <w:szCs w:val="24"/>
        </w:rPr>
        <w:t>e Banco Interamericano de Desenvolvimento – BID</w:t>
      </w:r>
      <w:r w:rsidR="00251F76" w:rsidRPr="00F37D45">
        <w:rPr>
          <w:rFonts w:cs="Arial"/>
          <w:szCs w:val="24"/>
        </w:rPr>
        <w:t xml:space="preserve">), a Nova Tamoios e o </w:t>
      </w:r>
      <w:r w:rsidR="006A1912">
        <w:rPr>
          <w:rFonts w:cs="Arial"/>
          <w:szCs w:val="24"/>
        </w:rPr>
        <w:t xml:space="preserve">Submerso - </w:t>
      </w:r>
      <w:r w:rsidR="00251F76" w:rsidRPr="00F37D45">
        <w:rPr>
          <w:rFonts w:cs="Arial"/>
          <w:szCs w:val="24"/>
        </w:rPr>
        <w:t>Túnel Santos</w:t>
      </w:r>
      <w:r w:rsidR="006A1912">
        <w:rPr>
          <w:rFonts w:cs="Arial"/>
          <w:szCs w:val="24"/>
        </w:rPr>
        <w:t>/</w:t>
      </w:r>
      <w:r w:rsidR="00251F76" w:rsidRPr="00F37D45">
        <w:rPr>
          <w:rFonts w:cs="Arial"/>
          <w:szCs w:val="24"/>
        </w:rPr>
        <w:t xml:space="preserve">Guarujá (ambos com o DER) </w:t>
      </w:r>
      <w:r w:rsidR="0073024A" w:rsidRPr="00F37D45">
        <w:rPr>
          <w:rFonts w:cs="Arial"/>
          <w:szCs w:val="24"/>
        </w:rPr>
        <w:t xml:space="preserve">e o Aeroporto Leite Lopes de Ribeirão Preto (Departamento Aeroviário do Estado de São Paulo – DAESP) </w:t>
      </w:r>
      <w:r w:rsidR="00251F76" w:rsidRPr="00F37D45">
        <w:rPr>
          <w:rFonts w:cs="Arial"/>
          <w:szCs w:val="24"/>
        </w:rPr>
        <w:t>marcam</w:t>
      </w:r>
      <w:r w:rsidR="00251F76">
        <w:rPr>
          <w:rFonts w:cs="Arial"/>
          <w:szCs w:val="24"/>
        </w:rPr>
        <w:t xml:space="preserve"> a continuidade desse modelo </w:t>
      </w:r>
      <w:r w:rsidR="000948B7">
        <w:rPr>
          <w:rFonts w:cs="Arial"/>
          <w:szCs w:val="24"/>
        </w:rPr>
        <w:t xml:space="preserve">de </w:t>
      </w:r>
      <w:r w:rsidR="00251F76">
        <w:rPr>
          <w:rFonts w:cs="Arial"/>
          <w:szCs w:val="24"/>
        </w:rPr>
        <w:t xml:space="preserve">atuação </w:t>
      </w:r>
      <w:r w:rsidR="0073024A">
        <w:rPr>
          <w:rFonts w:cs="Arial"/>
          <w:szCs w:val="24"/>
        </w:rPr>
        <w:t>por meio</w:t>
      </w:r>
      <w:r w:rsidR="00251F76">
        <w:rPr>
          <w:rFonts w:cs="Arial"/>
          <w:szCs w:val="24"/>
        </w:rPr>
        <w:t xml:space="preserve"> de esforços conjuntos.</w:t>
      </w:r>
    </w:p>
    <w:p w:rsidR="0002790C" w:rsidRDefault="0002790C" w:rsidP="009932D7">
      <w:pPr>
        <w:spacing w:after="120" w:line="288" w:lineRule="auto"/>
        <w:jc w:val="both"/>
        <w:rPr>
          <w:rFonts w:cs="Arial"/>
          <w:szCs w:val="24"/>
        </w:rPr>
      </w:pPr>
    </w:p>
    <w:p w:rsidR="00EB2EC0" w:rsidRDefault="00A0060E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Em todos estes empreendimentos, as relações entre os parceiros foram reguladas </w:t>
      </w:r>
      <w:r w:rsidR="0073024A">
        <w:rPr>
          <w:rFonts w:cs="Arial"/>
          <w:szCs w:val="24"/>
        </w:rPr>
        <w:t>por meio</w:t>
      </w:r>
      <w:r>
        <w:rPr>
          <w:rFonts w:cs="Arial"/>
          <w:szCs w:val="24"/>
        </w:rPr>
        <w:t xml:space="preserve"> de um ou mais convênios</w:t>
      </w:r>
      <w:r w:rsidR="00251F76">
        <w:rPr>
          <w:rFonts w:cs="Arial"/>
          <w:szCs w:val="24"/>
        </w:rPr>
        <w:t xml:space="preserve"> específicos. Embora cada parceria </w:t>
      </w:r>
      <w:r w:rsidR="00A05BAF">
        <w:rPr>
          <w:rFonts w:cs="Arial"/>
          <w:szCs w:val="24"/>
        </w:rPr>
        <w:t>tenha características</w:t>
      </w:r>
      <w:r w:rsidR="00251F76">
        <w:rPr>
          <w:rFonts w:cs="Arial"/>
          <w:szCs w:val="24"/>
        </w:rPr>
        <w:t xml:space="preserve"> únicas, a atuação da DERSA como </w:t>
      </w:r>
      <w:r w:rsidR="00251F76" w:rsidRPr="002F08F3">
        <w:rPr>
          <w:rFonts w:cs="Arial"/>
          <w:b/>
          <w:szCs w:val="24"/>
        </w:rPr>
        <w:t>gestora integral do empreendimento</w:t>
      </w:r>
      <w:r w:rsidR="00251F76">
        <w:rPr>
          <w:rFonts w:cs="Arial"/>
          <w:szCs w:val="24"/>
        </w:rPr>
        <w:t xml:space="preserve"> é ponto comum </w:t>
      </w:r>
      <w:r w:rsidR="00A05BAF">
        <w:rPr>
          <w:rFonts w:cs="Arial"/>
          <w:szCs w:val="24"/>
        </w:rPr>
        <w:t>em</w:t>
      </w:r>
      <w:r w:rsidR="00251F76">
        <w:rPr>
          <w:rFonts w:cs="Arial"/>
          <w:szCs w:val="24"/>
        </w:rPr>
        <w:t xml:space="preserve"> tod</w:t>
      </w:r>
      <w:r w:rsidR="002F08F3">
        <w:rPr>
          <w:rFonts w:cs="Arial"/>
          <w:szCs w:val="24"/>
        </w:rPr>
        <w:t>as ela</w:t>
      </w:r>
      <w:r w:rsidR="00251F76">
        <w:rPr>
          <w:rFonts w:cs="Arial"/>
          <w:szCs w:val="24"/>
        </w:rPr>
        <w:t>s.</w:t>
      </w:r>
    </w:p>
    <w:p w:rsidR="0002790C" w:rsidRDefault="0002790C" w:rsidP="009932D7">
      <w:pPr>
        <w:spacing w:after="120" w:line="288" w:lineRule="auto"/>
        <w:jc w:val="both"/>
        <w:rPr>
          <w:rFonts w:cs="Arial"/>
          <w:szCs w:val="24"/>
        </w:rPr>
      </w:pPr>
    </w:p>
    <w:p w:rsidR="00495CBF" w:rsidRDefault="00251F76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Isso significa que os parceiros </w:t>
      </w:r>
      <w:r w:rsidR="002F08F3">
        <w:rPr>
          <w:rFonts w:cs="Arial"/>
          <w:szCs w:val="24"/>
        </w:rPr>
        <w:t>confiam</w:t>
      </w:r>
      <w:r w:rsidR="00495CB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à DERSA</w:t>
      </w:r>
      <w:r w:rsidR="00495CB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responsabilidade pela especificação, contratação e gestão d</w:t>
      </w:r>
      <w:r w:rsidR="00A05BAF">
        <w:rPr>
          <w:rFonts w:cs="Arial"/>
          <w:szCs w:val="24"/>
        </w:rPr>
        <w:t>o</w:t>
      </w:r>
      <w:r w:rsidR="002F08F3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serviços relacionados à </w:t>
      </w:r>
      <w:r w:rsidR="00A05BAF">
        <w:rPr>
          <w:rFonts w:cs="Arial"/>
          <w:szCs w:val="24"/>
        </w:rPr>
        <w:t xml:space="preserve">plena </w:t>
      </w:r>
      <w:r w:rsidR="00A6256A">
        <w:rPr>
          <w:rFonts w:cs="Arial"/>
          <w:szCs w:val="24"/>
        </w:rPr>
        <w:t>execução</w:t>
      </w:r>
      <w:r>
        <w:rPr>
          <w:rFonts w:cs="Arial"/>
          <w:szCs w:val="24"/>
        </w:rPr>
        <w:t xml:space="preserve"> do </w:t>
      </w:r>
      <w:r>
        <w:rPr>
          <w:rFonts w:cs="Arial"/>
          <w:szCs w:val="24"/>
        </w:rPr>
        <w:lastRenderedPageBreak/>
        <w:t xml:space="preserve">empreendimento, bem como </w:t>
      </w:r>
      <w:r w:rsidR="000948B7">
        <w:rPr>
          <w:rFonts w:cs="Arial"/>
          <w:szCs w:val="24"/>
        </w:rPr>
        <w:t>repassam os</w:t>
      </w:r>
      <w:r w:rsidR="002F08F3">
        <w:rPr>
          <w:rFonts w:cs="Arial"/>
          <w:szCs w:val="24"/>
        </w:rPr>
        <w:t xml:space="preserve"> recursos financeiros </w:t>
      </w:r>
      <w:r>
        <w:rPr>
          <w:rFonts w:cs="Arial"/>
          <w:szCs w:val="24"/>
        </w:rPr>
        <w:t>necess</w:t>
      </w:r>
      <w:r w:rsidR="002F08F3">
        <w:rPr>
          <w:rFonts w:cs="Arial"/>
          <w:szCs w:val="24"/>
        </w:rPr>
        <w:t>ários</w:t>
      </w:r>
      <w:r>
        <w:rPr>
          <w:rFonts w:cs="Arial"/>
          <w:szCs w:val="24"/>
        </w:rPr>
        <w:t xml:space="preserve"> </w:t>
      </w:r>
      <w:r w:rsidR="002F08F3">
        <w:rPr>
          <w:rFonts w:cs="Arial"/>
          <w:szCs w:val="24"/>
        </w:rPr>
        <w:t>à cobertura das despesas a eles associados</w:t>
      </w:r>
      <w:r>
        <w:rPr>
          <w:rFonts w:cs="Arial"/>
          <w:szCs w:val="24"/>
        </w:rPr>
        <w:t>.</w:t>
      </w:r>
      <w:r w:rsidR="002F08F3">
        <w:rPr>
          <w:rFonts w:cs="Arial"/>
          <w:szCs w:val="24"/>
        </w:rPr>
        <w:t xml:space="preserve"> </w:t>
      </w:r>
      <w:r w:rsidR="00A05BAF" w:rsidRPr="00F37D45">
        <w:rPr>
          <w:rFonts w:cs="Arial"/>
          <w:szCs w:val="24"/>
        </w:rPr>
        <w:t>No sentido inverso</w:t>
      </w:r>
      <w:r w:rsidR="00A05BAF">
        <w:rPr>
          <w:rFonts w:cs="Arial"/>
          <w:szCs w:val="24"/>
        </w:rPr>
        <w:t>, s</w:t>
      </w:r>
      <w:r w:rsidR="00D22D43">
        <w:rPr>
          <w:rFonts w:cs="Arial"/>
          <w:szCs w:val="24"/>
        </w:rPr>
        <w:t>uportados pel</w:t>
      </w:r>
      <w:r w:rsidR="00B91526">
        <w:rPr>
          <w:rFonts w:cs="Arial"/>
          <w:szCs w:val="24"/>
        </w:rPr>
        <w:t>o conhecimento técnico e gerencial da</w:t>
      </w:r>
      <w:r w:rsidR="00D22D43">
        <w:rPr>
          <w:rFonts w:cs="Arial"/>
          <w:szCs w:val="24"/>
        </w:rPr>
        <w:t xml:space="preserve"> DERSA</w:t>
      </w:r>
      <w:r w:rsidR="002F08F3">
        <w:rPr>
          <w:rFonts w:cs="Arial"/>
          <w:szCs w:val="24"/>
        </w:rPr>
        <w:t xml:space="preserve">, </w:t>
      </w:r>
      <w:r w:rsidR="00F44EEF">
        <w:rPr>
          <w:rFonts w:cs="Arial"/>
          <w:szCs w:val="24"/>
        </w:rPr>
        <w:t>o</w:t>
      </w:r>
      <w:r w:rsidR="00D22D43">
        <w:rPr>
          <w:rFonts w:cs="Arial"/>
          <w:szCs w:val="24"/>
        </w:rPr>
        <w:t xml:space="preserve">s </w:t>
      </w:r>
      <w:r w:rsidR="00F44EEF">
        <w:rPr>
          <w:rFonts w:cs="Arial"/>
          <w:szCs w:val="24"/>
        </w:rPr>
        <w:t>órgãos parceiros</w:t>
      </w:r>
      <w:r w:rsidR="00D22D43">
        <w:rPr>
          <w:rFonts w:cs="Arial"/>
          <w:szCs w:val="24"/>
        </w:rPr>
        <w:t xml:space="preserve"> </w:t>
      </w:r>
      <w:r w:rsidR="002C3AA2">
        <w:rPr>
          <w:rFonts w:cs="Arial"/>
          <w:szCs w:val="24"/>
        </w:rPr>
        <w:t xml:space="preserve">conseguem </w:t>
      </w:r>
      <w:r w:rsidR="00A05BAF">
        <w:rPr>
          <w:rFonts w:cs="Arial"/>
          <w:szCs w:val="24"/>
        </w:rPr>
        <w:t>atingir seus objetivos sociais ao ver implantados</w:t>
      </w:r>
      <w:r w:rsidR="00A6256A">
        <w:rPr>
          <w:rFonts w:cs="Arial"/>
          <w:szCs w:val="24"/>
        </w:rPr>
        <w:t xml:space="preserve"> </w:t>
      </w:r>
      <w:r w:rsidR="00F44EEF">
        <w:rPr>
          <w:rFonts w:cs="Arial"/>
          <w:szCs w:val="24"/>
        </w:rPr>
        <w:t xml:space="preserve">grandes </w:t>
      </w:r>
      <w:r w:rsidR="00D22D43">
        <w:rPr>
          <w:rFonts w:cs="Arial"/>
          <w:szCs w:val="24"/>
        </w:rPr>
        <w:t xml:space="preserve">projetos </w:t>
      </w:r>
      <w:r w:rsidR="00A6256A">
        <w:rPr>
          <w:rFonts w:cs="Arial"/>
          <w:szCs w:val="24"/>
        </w:rPr>
        <w:t xml:space="preserve">de infraestrutura viária </w:t>
      </w:r>
      <w:r w:rsidR="00B91526">
        <w:rPr>
          <w:rFonts w:cs="Arial"/>
          <w:szCs w:val="24"/>
        </w:rPr>
        <w:t>que, muita</w:t>
      </w:r>
      <w:r w:rsidR="00D22D43">
        <w:rPr>
          <w:rFonts w:cs="Arial"/>
          <w:szCs w:val="24"/>
        </w:rPr>
        <w:t xml:space="preserve">s </w:t>
      </w:r>
      <w:r w:rsidR="00B91526">
        <w:rPr>
          <w:rFonts w:cs="Arial"/>
          <w:szCs w:val="24"/>
        </w:rPr>
        <w:t xml:space="preserve">vezes, </w:t>
      </w:r>
      <w:r w:rsidR="00D22D43">
        <w:rPr>
          <w:rFonts w:cs="Arial"/>
          <w:szCs w:val="24"/>
        </w:rPr>
        <w:t xml:space="preserve">teriam dificuldade para </w:t>
      </w:r>
      <w:r w:rsidR="002C3AA2">
        <w:rPr>
          <w:rFonts w:cs="Arial"/>
          <w:szCs w:val="24"/>
        </w:rPr>
        <w:t>realizarem</w:t>
      </w:r>
      <w:r w:rsidR="00D22D43">
        <w:rPr>
          <w:rFonts w:cs="Arial"/>
          <w:szCs w:val="24"/>
        </w:rPr>
        <w:t xml:space="preserve"> sozinhos.</w:t>
      </w:r>
      <w:r w:rsidR="00495CBF">
        <w:rPr>
          <w:rFonts w:cs="Arial"/>
          <w:szCs w:val="24"/>
        </w:rPr>
        <w:t xml:space="preserve"> </w:t>
      </w:r>
      <w:r w:rsidR="00410ABF">
        <w:rPr>
          <w:rFonts w:cs="Arial"/>
          <w:szCs w:val="24"/>
        </w:rPr>
        <w:t>Como se trata</w:t>
      </w:r>
      <w:r w:rsidR="007C5C47">
        <w:rPr>
          <w:rFonts w:cs="Arial"/>
          <w:szCs w:val="24"/>
        </w:rPr>
        <w:t>m</w:t>
      </w:r>
      <w:r w:rsidR="00410ABF">
        <w:rPr>
          <w:rFonts w:cs="Arial"/>
          <w:szCs w:val="24"/>
        </w:rPr>
        <w:t xml:space="preserve"> </w:t>
      </w:r>
      <w:r w:rsidR="00F9593B">
        <w:rPr>
          <w:rFonts w:cs="Arial"/>
          <w:szCs w:val="24"/>
        </w:rPr>
        <w:t xml:space="preserve">de </w:t>
      </w:r>
      <w:r w:rsidR="00E74B77">
        <w:rPr>
          <w:rFonts w:cs="Arial"/>
          <w:szCs w:val="24"/>
        </w:rPr>
        <w:t>obras</w:t>
      </w:r>
      <w:r w:rsidR="00410ABF">
        <w:rPr>
          <w:rFonts w:cs="Arial"/>
          <w:szCs w:val="24"/>
        </w:rPr>
        <w:t xml:space="preserve"> públic</w:t>
      </w:r>
      <w:r w:rsidR="00E74B77">
        <w:rPr>
          <w:rFonts w:cs="Arial"/>
          <w:szCs w:val="24"/>
        </w:rPr>
        <w:t>a</w:t>
      </w:r>
      <w:r w:rsidR="00410ABF">
        <w:rPr>
          <w:rFonts w:cs="Arial"/>
          <w:szCs w:val="24"/>
        </w:rPr>
        <w:t xml:space="preserve">s, as contratações realizadas pela DERSA </w:t>
      </w:r>
      <w:r w:rsidR="00773EDE">
        <w:rPr>
          <w:rFonts w:cs="Arial"/>
          <w:szCs w:val="24"/>
        </w:rPr>
        <w:t>submetem-</w:t>
      </w:r>
      <w:r w:rsidR="00F9593B">
        <w:rPr>
          <w:rFonts w:cs="Arial"/>
          <w:szCs w:val="24"/>
        </w:rPr>
        <w:t>se</w:t>
      </w:r>
      <w:r w:rsidR="00773EDE">
        <w:rPr>
          <w:rFonts w:cs="Arial"/>
          <w:szCs w:val="24"/>
        </w:rPr>
        <w:t xml:space="preserve"> </w:t>
      </w:r>
      <w:r w:rsidR="00F9593B">
        <w:rPr>
          <w:rFonts w:cs="Arial"/>
          <w:szCs w:val="24"/>
        </w:rPr>
        <w:t>obrigatoriamente</w:t>
      </w:r>
      <w:r w:rsidR="00773EDE">
        <w:rPr>
          <w:rFonts w:cs="Arial"/>
          <w:szCs w:val="24"/>
        </w:rPr>
        <w:t xml:space="preserve"> à legislação de licitações. </w:t>
      </w:r>
      <w:r w:rsidR="00D30605">
        <w:rPr>
          <w:rFonts w:cs="Arial"/>
          <w:szCs w:val="24"/>
        </w:rPr>
        <w:t>O porte dos empreendimentos, por sua vez, envolve orçamentos expressivos e não raramente bilionários</w:t>
      </w:r>
      <w:r w:rsidR="00A0607B">
        <w:rPr>
          <w:rFonts w:cs="Arial"/>
          <w:szCs w:val="24"/>
        </w:rPr>
        <w:t xml:space="preserve">. </w:t>
      </w:r>
    </w:p>
    <w:p w:rsidR="00495CBF" w:rsidRDefault="00495CBF" w:rsidP="009932D7">
      <w:pPr>
        <w:spacing w:after="120" w:line="288" w:lineRule="auto"/>
        <w:jc w:val="both"/>
        <w:rPr>
          <w:rFonts w:cs="Arial"/>
          <w:szCs w:val="24"/>
        </w:rPr>
      </w:pPr>
    </w:p>
    <w:p w:rsidR="00410ABF" w:rsidRDefault="00F9593B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A0607B">
        <w:rPr>
          <w:rFonts w:cs="Arial"/>
          <w:szCs w:val="24"/>
        </w:rPr>
        <w:t xml:space="preserve">ssim, </w:t>
      </w:r>
      <w:r w:rsidR="00E74B77">
        <w:rPr>
          <w:rFonts w:cs="Arial"/>
          <w:szCs w:val="24"/>
        </w:rPr>
        <w:t xml:space="preserve">inovações nos </w:t>
      </w:r>
      <w:r>
        <w:rPr>
          <w:rFonts w:cs="Arial"/>
          <w:szCs w:val="24"/>
        </w:rPr>
        <w:t xml:space="preserve">processos licitatórios que resultem em </w:t>
      </w:r>
      <w:r w:rsidR="00A0607B">
        <w:rPr>
          <w:rFonts w:cs="Arial"/>
          <w:szCs w:val="24"/>
        </w:rPr>
        <w:t xml:space="preserve">reduções </w:t>
      </w:r>
      <w:r w:rsidR="00E74B77">
        <w:rPr>
          <w:rFonts w:cs="Arial"/>
          <w:szCs w:val="24"/>
        </w:rPr>
        <w:t xml:space="preserve">nos </w:t>
      </w:r>
      <w:r>
        <w:rPr>
          <w:rFonts w:cs="Arial"/>
          <w:szCs w:val="24"/>
        </w:rPr>
        <w:t>preços</w:t>
      </w:r>
      <w:r w:rsidR="00E74B77">
        <w:rPr>
          <w:rFonts w:cs="Arial"/>
          <w:szCs w:val="24"/>
        </w:rPr>
        <w:t xml:space="preserve"> contratados</w:t>
      </w:r>
      <w:r w:rsidR="00520041">
        <w:rPr>
          <w:rFonts w:cs="Arial"/>
          <w:szCs w:val="24"/>
        </w:rPr>
        <w:t>,</w:t>
      </w:r>
      <w:r w:rsidR="00C85B44">
        <w:rPr>
          <w:rFonts w:cs="Arial"/>
          <w:szCs w:val="24"/>
        </w:rPr>
        <w:t xml:space="preserve"> sem </w:t>
      </w:r>
      <w:r w:rsidR="00D30605">
        <w:rPr>
          <w:rFonts w:cs="Arial"/>
          <w:szCs w:val="24"/>
        </w:rPr>
        <w:t>sacrificar</w:t>
      </w:r>
      <w:r w:rsidR="00C85B44">
        <w:rPr>
          <w:rFonts w:cs="Arial"/>
          <w:szCs w:val="24"/>
        </w:rPr>
        <w:t xml:space="preserve"> a qualidade</w:t>
      </w:r>
      <w:r w:rsidR="00E74B77">
        <w:rPr>
          <w:rFonts w:cs="Arial"/>
          <w:szCs w:val="24"/>
        </w:rPr>
        <w:t xml:space="preserve"> </w:t>
      </w:r>
      <w:r w:rsidR="00D30605">
        <w:rPr>
          <w:rFonts w:cs="Arial"/>
          <w:szCs w:val="24"/>
        </w:rPr>
        <w:t>dos serviços</w:t>
      </w:r>
      <w:r w:rsidR="00520041">
        <w:rPr>
          <w:rFonts w:cs="Arial"/>
          <w:szCs w:val="24"/>
        </w:rPr>
        <w:t>,</w:t>
      </w:r>
      <w:r w:rsidR="00D30605">
        <w:rPr>
          <w:rFonts w:cs="Arial"/>
          <w:szCs w:val="24"/>
        </w:rPr>
        <w:t xml:space="preserve"> </w:t>
      </w:r>
      <w:r w:rsidR="00C85B44">
        <w:rPr>
          <w:rFonts w:cs="Arial"/>
          <w:szCs w:val="24"/>
        </w:rPr>
        <w:t>resultam em</w:t>
      </w:r>
      <w:r w:rsidR="00E74B77">
        <w:rPr>
          <w:rFonts w:cs="Arial"/>
          <w:szCs w:val="24"/>
        </w:rPr>
        <w:t xml:space="preserve"> economias </w:t>
      </w:r>
      <w:r w:rsidR="00D30605">
        <w:rPr>
          <w:rFonts w:cs="Arial"/>
          <w:szCs w:val="24"/>
        </w:rPr>
        <w:t>reais e bastante expressivas</w:t>
      </w:r>
      <w:r w:rsidR="00C85B44">
        <w:rPr>
          <w:rFonts w:cs="Arial"/>
          <w:szCs w:val="24"/>
        </w:rPr>
        <w:t xml:space="preserve"> </w:t>
      </w:r>
      <w:r w:rsidR="00E74B77">
        <w:rPr>
          <w:rFonts w:cs="Arial"/>
          <w:szCs w:val="24"/>
        </w:rPr>
        <w:t>ao erário</w:t>
      </w:r>
      <w:r w:rsidR="00495CBF">
        <w:rPr>
          <w:rFonts w:cs="Arial"/>
          <w:szCs w:val="24"/>
        </w:rPr>
        <w:t>, melhorando significativamente a qualidade do gasto público</w:t>
      </w:r>
      <w:r>
        <w:rPr>
          <w:rFonts w:cs="Arial"/>
          <w:szCs w:val="24"/>
        </w:rPr>
        <w:t>.</w:t>
      </w:r>
    </w:p>
    <w:p w:rsidR="001A5133" w:rsidRDefault="001A5133" w:rsidP="00251F76">
      <w:pPr>
        <w:spacing w:after="120" w:line="288" w:lineRule="auto"/>
        <w:jc w:val="both"/>
        <w:rPr>
          <w:rFonts w:cs="Arial"/>
          <w:szCs w:val="24"/>
        </w:rPr>
      </w:pPr>
    </w:p>
    <w:p w:rsidR="00251F76" w:rsidRDefault="00D30605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Para ampliar a competição e minimizar riscos (especialmente aqueles vinculados a saúde financeira do contratado), a</w:t>
      </w:r>
      <w:r w:rsidR="000948B7">
        <w:rPr>
          <w:rFonts w:cs="Arial"/>
          <w:szCs w:val="24"/>
        </w:rPr>
        <w:t>s licitações</w:t>
      </w:r>
      <w:r>
        <w:rPr>
          <w:rFonts w:cs="Arial"/>
          <w:szCs w:val="24"/>
        </w:rPr>
        <w:t xml:space="preserve"> de obras públicas de grande porte são costumeiramente dividas em “lotes”. Nestas situações, os serviços de obras de engenharia necessários à implantação da infraestrutura são agrupados </w:t>
      </w:r>
      <w:r w:rsidR="002D43B2">
        <w:rPr>
          <w:rFonts w:cs="Arial"/>
          <w:szCs w:val="24"/>
        </w:rPr>
        <w:t>conforme</w:t>
      </w:r>
      <w:r>
        <w:rPr>
          <w:rFonts w:cs="Arial"/>
          <w:szCs w:val="24"/>
        </w:rPr>
        <w:t xml:space="preserve"> um critério lógico que dê sentido único </w:t>
      </w:r>
      <w:r w:rsidR="002D43B2">
        <w:rPr>
          <w:rFonts w:cs="Arial"/>
          <w:szCs w:val="24"/>
        </w:rPr>
        <w:t>a cada um dos lotes constituídos. Assim, o critério para a composição dos lotes da obra de implantação de uma nova rodovia pode ser a segmentação da extensão total, enquanto a construção de um conjunto de presídios pode considerar cada nova unidade como lote.</w:t>
      </w:r>
    </w:p>
    <w:p w:rsidR="00D30605" w:rsidRDefault="00D30605" w:rsidP="009932D7">
      <w:pPr>
        <w:spacing w:after="120" w:line="288" w:lineRule="auto"/>
        <w:jc w:val="both"/>
        <w:rPr>
          <w:rFonts w:cs="Arial"/>
          <w:szCs w:val="24"/>
        </w:rPr>
      </w:pPr>
    </w:p>
    <w:p w:rsidR="00D30605" w:rsidRDefault="002D43B2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Dividida em lotes, uma grande obra pode ser </w:t>
      </w:r>
      <w:r w:rsidR="00F133CE">
        <w:rPr>
          <w:rFonts w:cs="Arial"/>
          <w:szCs w:val="24"/>
        </w:rPr>
        <w:t xml:space="preserve">integralmente </w:t>
      </w:r>
      <w:r>
        <w:rPr>
          <w:rFonts w:cs="Arial"/>
          <w:szCs w:val="24"/>
        </w:rPr>
        <w:t>licitada em um</w:t>
      </w:r>
      <w:r w:rsidR="00B7153B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únic</w:t>
      </w:r>
      <w:r w:rsidR="00B7153B">
        <w:rPr>
          <w:rFonts w:cs="Arial"/>
          <w:szCs w:val="24"/>
        </w:rPr>
        <w:t xml:space="preserve">a </w:t>
      </w:r>
      <w:r w:rsidR="00B7153B" w:rsidRPr="0010602C">
        <w:rPr>
          <w:rFonts w:cs="Arial"/>
          <w:b/>
          <w:szCs w:val="24"/>
        </w:rPr>
        <w:t>concorrência pública</w:t>
      </w:r>
      <w:r>
        <w:rPr>
          <w:rFonts w:cs="Arial"/>
          <w:szCs w:val="24"/>
        </w:rPr>
        <w:t>.</w:t>
      </w:r>
      <w:r w:rsidR="00F133CE">
        <w:rPr>
          <w:rFonts w:cs="Arial"/>
          <w:szCs w:val="24"/>
        </w:rPr>
        <w:t xml:space="preserve"> </w:t>
      </w:r>
      <w:r w:rsidR="00B7153B">
        <w:rPr>
          <w:rFonts w:cs="Arial"/>
          <w:szCs w:val="24"/>
        </w:rPr>
        <w:t xml:space="preserve">Como essas concorrências correm na </w:t>
      </w:r>
      <w:r w:rsidR="00B7153B" w:rsidRPr="0010602C">
        <w:rPr>
          <w:rFonts w:cs="Arial"/>
          <w:b/>
          <w:szCs w:val="24"/>
        </w:rPr>
        <w:t>modalidade me</w:t>
      </w:r>
      <w:r w:rsidR="00F37D45">
        <w:rPr>
          <w:rFonts w:cs="Arial"/>
          <w:b/>
          <w:szCs w:val="24"/>
        </w:rPr>
        <w:t>lh</w:t>
      </w:r>
      <w:r w:rsidR="00B7153B" w:rsidRPr="0010602C">
        <w:rPr>
          <w:rFonts w:cs="Arial"/>
          <w:b/>
          <w:szCs w:val="24"/>
        </w:rPr>
        <w:t>or combinação de preços</w:t>
      </w:r>
      <w:r w:rsidR="00F37D45">
        <w:rPr>
          <w:rFonts w:cs="Arial"/>
          <w:b/>
          <w:szCs w:val="24"/>
        </w:rPr>
        <w:t xml:space="preserve"> </w:t>
      </w:r>
      <w:r w:rsidR="00F37D45">
        <w:rPr>
          <w:rFonts w:cs="Arial"/>
          <w:szCs w:val="24"/>
        </w:rPr>
        <w:t>(que sagra vencedor o conjunto de propostas que resulte no menor preço total para a somatória dos lotes)</w:t>
      </w:r>
      <w:r w:rsidR="00B7153B">
        <w:rPr>
          <w:rFonts w:cs="Arial"/>
          <w:szCs w:val="24"/>
        </w:rPr>
        <w:t>, a</w:t>
      </w:r>
      <w:r w:rsidR="00F133CE">
        <w:rPr>
          <w:rFonts w:cs="Arial"/>
          <w:szCs w:val="24"/>
        </w:rPr>
        <w:t xml:space="preserve">o </w:t>
      </w:r>
      <w:r w:rsidR="00B7153B">
        <w:rPr>
          <w:rFonts w:cs="Arial"/>
          <w:szCs w:val="24"/>
        </w:rPr>
        <w:t xml:space="preserve">seu </w:t>
      </w:r>
      <w:r w:rsidR="00F133CE">
        <w:rPr>
          <w:rFonts w:cs="Arial"/>
          <w:szCs w:val="24"/>
        </w:rPr>
        <w:t xml:space="preserve">final </w:t>
      </w:r>
      <w:r w:rsidR="003C6A24">
        <w:rPr>
          <w:rFonts w:cs="Arial"/>
          <w:szCs w:val="24"/>
        </w:rPr>
        <w:t>a melhor</w:t>
      </w:r>
      <w:r w:rsidR="000948B7">
        <w:rPr>
          <w:rFonts w:cs="Arial"/>
          <w:szCs w:val="24"/>
        </w:rPr>
        <w:t xml:space="preserve"> combinação </w:t>
      </w:r>
      <w:r w:rsidR="00B7153B">
        <w:rPr>
          <w:rFonts w:cs="Arial"/>
          <w:szCs w:val="24"/>
        </w:rPr>
        <w:t xml:space="preserve">entre </w:t>
      </w:r>
      <w:r w:rsidR="000948B7">
        <w:rPr>
          <w:rFonts w:cs="Arial"/>
          <w:szCs w:val="24"/>
        </w:rPr>
        <w:t>as</w:t>
      </w:r>
      <w:r w:rsidR="003C6A24">
        <w:rPr>
          <w:rFonts w:cs="Arial"/>
          <w:szCs w:val="24"/>
        </w:rPr>
        <w:t xml:space="preserve"> proposta</w:t>
      </w:r>
      <w:r w:rsidR="000948B7">
        <w:rPr>
          <w:rFonts w:cs="Arial"/>
          <w:szCs w:val="24"/>
        </w:rPr>
        <w:t>s</w:t>
      </w:r>
      <w:r w:rsidR="003C6A24">
        <w:rPr>
          <w:rFonts w:cs="Arial"/>
          <w:szCs w:val="24"/>
        </w:rPr>
        <w:t xml:space="preserve"> </w:t>
      </w:r>
      <w:r w:rsidR="00B7153B">
        <w:rPr>
          <w:rFonts w:cs="Arial"/>
          <w:szCs w:val="24"/>
        </w:rPr>
        <w:t xml:space="preserve">recebidas </w:t>
      </w:r>
      <w:r w:rsidR="003C6A24">
        <w:rPr>
          <w:rFonts w:cs="Arial"/>
          <w:szCs w:val="24"/>
        </w:rPr>
        <w:t xml:space="preserve">para </w:t>
      </w:r>
      <w:r w:rsidR="00F133CE">
        <w:rPr>
          <w:rFonts w:cs="Arial"/>
          <w:szCs w:val="24"/>
        </w:rPr>
        <w:t xml:space="preserve">cada lote </w:t>
      </w:r>
      <w:r w:rsidR="003C6A24">
        <w:rPr>
          <w:rFonts w:cs="Arial"/>
          <w:szCs w:val="24"/>
        </w:rPr>
        <w:t>é aquela que definirá o</w:t>
      </w:r>
      <w:r w:rsidR="000948B7">
        <w:rPr>
          <w:rFonts w:cs="Arial"/>
          <w:szCs w:val="24"/>
        </w:rPr>
        <w:t>s</w:t>
      </w:r>
      <w:r w:rsidR="003C6A24">
        <w:rPr>
          <w:rFonts w:cs="Arial"/>
          <w:szCs w:val="24"/>
        </w:rPr>
        <w:t xml:space="preserve"> contratado</w:t>
      </w:r>
      <w:r w:rsidR="000948B7">
        <w:rPr>
          <w:rFonts w:cs="Arial"/>
          <w:szCs w:val="24"/>
        </w:rPr>
        <w:t>s</w:t>
      </w:r>
      <w:r w:rsidR="00F133CE">
        <w:rPr>
          <w:rFonts w:cs="Arial"/>
          <w:szCs w:val="24"/>
        </w:rPr>
        <w:t>.</w:t>
      </w:r>
      <w:r w:rsidR="001A5133">
        <w:rPr>
          <w:rFonts w:cs="Arial"/>
          <w:szCs w:val="24"/>
        </w:rPr>
        <w:t xml:space="preserve"> Não raramente os editais permitem que um licitante dispute </w:t>
      </w:r>
      <w:r w:rsidR="003C6A24">
        <w:rPr>
          <w:rFonts w:cs="Arial"/>
          <w:szCs w:val="24"/>
        </w:rPr>
        <w:t xml:space="preserve">e vença </w:t>
      </w:r>
      <w:r w:rsidR="001A5133">
        <w:rPr>
          <w:rFonts w:cs="Arial"/>
          <w:szCs w:val="24"/>
        </w:rPr>
        <w:t>mais de um lote</w:t>
      </w:r>
      <w:r w:rsidR="003C6A24">
        <w:rPr>
          <w:rFonts w:cs="Arial"/>
          <w:szCs w:val="24"/>
        </w:rPr>
        <w:t xml:space="preserve"> n</w:t>
      </w:r>
      <w:r w:rsidR="001A5133">
        <w:rPr>
          <w:rFonts w:cs="Arial"/>
          <w:szCs w:val="24"/>
        </w:rPr>
        <w:t>a mesma licitação.</w:t>
      </w:r>
    </w:p>
    <w:p w:rsidR="00F133CE" w:rsidRDefault="00F133CE" w:rsidP="009932D7">
      <w:pPr>
        <w:spacing w:after="120" w:line="288" w:lineRule="auto"/>
        <w:jc w:val="both"/>
        <w:rPr>
          <w:rFonts w:cs="Arial"/>
          <w:szCs w:val="24"/>
        </w:rPr>
      </w:pPr>
    </w:p>
    <w:p w:rsidR="00F133CE" w:rsidRDefault="00652A2A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Numa licitação dividida em lotes, as propostas de todos os licitantes para todos os lotes que compõem o objeto são entregues simultaneamente na mesma sessão pública. </w:t>
      </w:r>
      <w:r w:rsidR="001A5133">
        <w:rPr>
          <w:rFonts w:cs="Arial"/>
          <w:szCs w:val="24"/>
        </w:rPr>
        <w:t xml:space="preserve">Assim, </w:t>
      </w:r>
      <w:r w:rsidR="00646B17">
        <w:rPr>
          <w:rFonts w:cs="Arial"/>
          <w:szCs w:val="24"/>
        </w:rPr>
        <w:t>ao prepararem</w:t>
      </w:r>
      <w:r w:rsidR="001A5133">
        <w:rPr>
          <w:rFonts w:cs="Arial"/>
          <w:szCs w:val="24"/>
        </w:rPr>
        <w:t xml:space="preserve"> suas propostas</w:t>
      </w:r>
      <w:r>
        <w:rPr>
          <w:rFonts w:cs="Arial"/>
          <w:szCs w:val="24"/>
        </w:rPr>
        <w:t xml:space="preserve">, os licitantes não sabem se </w:t>
      </w:r>
      <w:r w:rsidR="001A5133">
        <w:rPr>
          <w:rFonts w:cs="Arial"/>
          <w:szCs w:val="24"/>
        </w:rPr>
        <w:t>conquistarão</w:t>
      </w:r>
      <w:r>
        <w:rPr>
          <w:rFonts w:cs="Arial"/>
          <w:szCs w:val="24"/>
        </w:rPr>
        <w:t xml:space="preserve"> um </w:t>
      </w:r>
      <w:r w:rsidR="001A5133">
        <w:rPr>
          <w:rFonts w:cs="Arial"/>
          <w:szCs w:val="24"/>
        </w:rPr>
        <w:t xml:space="preserve">único </w:t>
      </w:r>
      <w:r>
        <w:rPr>
          <w:rFonts w:cs="Arial"/>
          <w:szCs w:val="24"/>
        </w:rPr>
        <w:t>lote ou um conjunto deles.</w:t>
      </w:r>
    </w:p>
    <w:p w:rsidR="00F133CE" w:rsidRDefault="00F133CE" w:rsidP="009932D7">
      <w:pPr>
        <w:spacing w:after="120" w:line="288" w:lineRule="auto"/>
        <w:jc w:val="both"/>
        <w:rPr>
          <w:rFonts w:cs="Arial"/>
          <w:szCs w:val="24"/>
        </w:rPr>
      </w:pPr>
    </w:p>
    <w:p w:rsidR="00D30605" w:rsidRDefault="003C6A24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Em uma obra rodoviária</w:t>
      </w:r>
      <w:r w:rsidR="00646B17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a conquista de um conjunto de </w:t>
      </w:r>
      <w:r w:rsidR="00F37D45">
        <w:rPr>
          <w:rFonts w:cs="Arial"/>
          <w:szCs w:val="24"/>
        </w:rPr>
        <w:t>mais de um lote por um mesmo licitante</w:t>
      </w:r>
      <w:r>
        <w:rPr>
          <w:rFonts w:cs="Arial"/>
          <w:szCs w:val="24"/>
        </w:rPr>
        <w:t xml:space="preserve"> amplia a base de rateio dos custos fixos e de serviços inerentes à </w:t>
      </w:r>
      <w:r>
        <w:rPr>
          <w:rFonts w:cs="Arial"/>
          <w:szCs w:val="24"/>
        </w:rPr>
        <w:lastRenderedPageBreak/>
        <w:t xml:space="preserve">obra. </w:t>
      </w:r>
      <w:r w:rsidR="00646B17">
        <w:rPr>
          <w:rFonts w:cs="Arial"/>
          <w:szCs w:val="24"/>
        </w:rPr>
        <w:t>O compartilhamento de um mesmo equipamento, como um caminhão ou um trator, entre os diferentes lotes vencidos reduz a ociosidade</w:t>
      </w:r>
      <w:r w:rsidR="003E66A4">
        <w:rPr>
          <w:rFonts w:cs="Arial"/>
          <w:szCs w:val="24"/>
        </w:rPr>
        <w:t xml:space="preserve"> do equipamento</w:t>
      </w:r>
      <w:r w:rsidR="00646B17">
        <w:rPr>
          <w:rFonts w:cs="Arial"/>
          <w:szCs w:val="24"/>
        </w:rPr>
        <w:t xml:space="preserve">; enquanto a </w:t>
      </w:r>
      <w:r w:rsidR="003F6AB0">
        <w:rPr>
          <w:rFonts w:cs="Arial"/>
          <w:szCs w:val="24"/>
        </w:rPr>
        <w:t>aquisiç</w:t>
      </w:r>
      <w:r w:rsidR="000948B7">
        <w:rPr>
          <w:rFonts w:cs="Arial"/>
          <w:szCs w:val="24"/>
        </w:rPr>
        <w:t>ã</w:t>
      </w:r>
      <w:r w:rsidR="003F6AB0">
        <w:rPr>
          <w:rFonts w:cs="Arial"/>
          <w:szCs w:val="24"/>
        </w:rPr>
        <w:t>o</w:t>
      </w:r>
      <w:r w:rsidR="00646B17">
        <w:rPr>
          <w:rFonts w:cs="Arial"/>
          <w:szCs w:val="24"/>
        </w:rPr>
        <w:t xml:space="preserve"> de maiores volumes de insumos </w:t>
      </w:r>
      <w:r w:rsidR="003F6AB0">
        <w:rPr>
          <w:rFonts w:cs="Arial"/>
          <w:szCs w:val="24"/>
        </w:rPr>
        <w:t>(cimento, brita, aço</w:t>
      </w:r>
      <w:r w:rsidR="00520041">
        <w:rPr>
          <w:rFonts w:cs="Arial"/>
          <w:szCs w:val="24"/>
        </w:rPr>
        <w:t xml:space="preserve"> etc.</w:t>
      </w:r>
      <w:r w:rsidR="003F6AB0">
        <w:rPr>
          <w:rFonts w:cs="Arial"/>
          <w:szCs w:val="24"/>
        </w:rPr>
        <w:t xml:space="preserve">) </w:t>
      </w:r>
      <w:r w:rsidR="00646B17">
        <w:rPr>
          <w:rFonts w:cs="Arial"/>
          <w:szCs w:val="24"/>
        </w:rPr>
        <w:t xml:space="preserve">pode resultar maiores descontos junto aos fornecedores, por exemplo. </w:t>
      </w:r>
      <w:r>
        <w:rPr>
          <w:rFonts w:cs="Arial"/>
          <w:szCs w:val="24"/>
        </w:rPr>
        <w:t>Isso significa que o licitante que ganha um volume maior de obra (</w:t>
      </w:r>
      <w:r w:rsidR="00646B17">
        <w:rPr>
          <w:rFonts w:cs="Arial"/>
          <w:szCs w:val="24"/>
        </w:rPr>
        <w:t xml:space="preserve">ou seja, </w:t>
      </w:r>
      <w:r>
        <w:rPr>
          <w:rFonts w:cs="Arial"/>
          <w:szCs w:val="24"/>
        </w:rPr>
        <w:t>mais lotes) tende a ter um custo unitário menor</w:t>
      </w:r>
      <w:r w:rsidR="00646B17">
        <w:rPr>
          <w:rFonts w:cs="Arial"/>
          <w:szCs w:val="24"/>
        </w:rPr>
        <w:t xml:space="preserve"> para uma grande gama d</w:t>
      </w:r>
      <w:r w:rsidR="00F37D45">
        <w:rPr>
          <w:rFonts w:cs="Arial"/>
          <w:szCs w:val="24"/>
        </w:rPr>
        <w:t>os</w:t>
      </w:r>
      <w:r w:rsidR="00646B17">
        <w:rPr>
          <w:rFonts w:cs="Arial"/>
          <w:szCs w:val="24"/>
        </w:rPr>
        <w:t xml:space="preserve"> serviços</w:t>
      </w:r>
      <w:r w:rsidR="00F37D45">
        <w:rPr>
          <w:rFonts w:cs="Arial"/>
          <w:szCs w:val="24"/>
        </w:rPr>
        <w:t xml:space="preserve"> envolvidos</w:t>
      </w:r>
      <w:r>
        <w:rPr>
          <w:rFonts w:cs="Arial"/>
          <w:szCs w:val="24"/>
        </w:rPr>
        <w:t>.</w:t>
      </w:r>
    </w:p>
    <w:p w:rsidR="003C6A24" w:rsidRDefault="003C6A24" w:rsidP="009932D7">
      <w:pPr>
        <w:spacing w:after="120" w:line="288" w:lineRule="auto"/>
        <w:jc w:val="both"/>
        <w:rPr>
          <w:rFonts w:cs="Arial"/>
          <w:szCs w:val="24"/>
        </w:rPr>
      </w:pPr>
    </w:p>
    <w:p w:rsidR="00F51BAA" w:rsidRPr="00F51BAA" w:rsidRDefault="00520041" w:rsidP="009932D7">
      <w:pPr>
        <w:spacing w:after="120" w:line="288" w:lineRule="auto"/>
        <w:jc w:val="both"/>
        <w:rPr>
          <w:rFonts w:cs="Arial"/>
          <w:szCs w:val="24"/>
        </w:rPr>
      </w:pPr>
      <w:r w:rsidRPr="00F51BAA">
        <w:rPr>
          <w:rFonts w:cs="Arial"/>
          <w:szCs w:val="24"/>
        </w:rPr>
        <w:t>Entretanto, como o licitante não sabe em quanto</w:t>
      </w:r>
      <w:r w:rsidR="00F37D45" w:rsidRPr="00F51BAA">
        <w:rPr>
          <w:rFonts w:cs="Arial"/>
          <w:szCs w:val="24"/>
        </w:rPr>
        <w:t xml:space="preserve">s e quais lotes será o vencedor. Ele também não sabe se ganhará apenas um ou mais lotes. </w:t>
      </w:r>
      <w:r w:rsidR="00F51BAA" w:rsidRPr="00F51BAA">
        <w:rPr>
          <w:rFonts w:cs="Arial"/>
          <w:szCs w:val="24"/>
        </w:rPr>
        <w:t xml:space="preserve">Assim, para que não haja sacrifício na sua margem de lucro (independente se mínima ou máxima), ao licitante não é ofertado nenhum mecanismo para que possa reduzir sua proposta apresentada ao Estado. </w:t>
      </w:r>
      <w:r w:rsidR="00F51BAA">
        <w:rPr>
          <w:rFonts w:cs="Arial"/>
          <w:szCs w:val="24"/>
        </w:rPr>
        <w:t>R</w:t>
      </w:r>
      <w:r w:rsidR="00F51BAA" w:rsidRPr="00F51BAA">
        <w:rPr>
          <w:rFonts w:cs="Arial"/>
          <w:szCs w:val="24"/>
        </w:rPr>
        <w:t>esta ao licitante adotar uma postura conservadora, a qual reflete em preços mais altos do que se consideradas as economias</w:t>
      </w:r>
      <w:r w:rsidR="00F51BAA">
        <w:rPr>
          <w:rFonts w:cs="Arial"/>
          <w:szCs w:val="24"/>
        </w:rPr>
        <w:t xml:space="preserve"> do ganho de escala</w:t>
      </w:r>
      <w:r w:rsidR="00F51BAA" w:rsidRPr="00F51BAA">
        <w:rPr>
          <w:rFonts w:cs="Arial"/>
          <w:szCs w:val="24"/>
        </w:rPr>
        <w:t>.</w:t>
      </w:r>
    </w:p>
    <w:p w:rsidR="00F51BAA" w:rsidRDefault="00F51BAA" w:rsidP="009932D7">
      <w:pPr>
        <w:spacing w:after="120" w:line="288" w:lineRule="auto"/>
        <w:jc w:val="both"/>
        <w:rPr>
          <w:rFonts w:cs="Arial"/>
          <w:szCs w:val="24"/>
          <w:highlight w:val="yellow"/>
        </w:rPr>
      </w:pPr>
    </w:p>
    <w:p w:rsidR="00520041" w:rsidRPr="00900160" w:rsidRDefault="00F51BAA" w:rsidP="009932D7">
      <w:pPr>
        <w:spacing w:after="120" w:line="288" w:lineRule="auto"/>
        <w:jc w:val="both"/>
        <w:rPr>
          <w:rFonts w:cs="Arial"/>
          <w:szCs w:val="24"/>
        </w:rPr>
      </w:pPr>
      <w:r w:rsidRPr="00900160">
        <w:rPr>
          <w:rFonts w:cs="Arial"/>
          <w:szCs w:val="24"/>
        </w:rPr>
        <w:t xml:space="preserve">Portanto, </w:t>
      </w:r>
      <w:r w:rsidRPr="00495CBF">
        <w:rPr>
          <w:rFonts w:cs="Arial"/>
          <w:szCs w:val="24"/>
          <w:u w:val="single"/>
        </w:rPr>
        <w:t>quando um licitante vencia mais de um lote, esse ganho era apropriado apenas por ele, sem qualquer benefício ao contratante (Estado)</w:t>
      </w:r>
      <w:r w:rsidR="00520041" w:rsidRPr="00900160">
        <w:rPr>
          <w:rFonts w:cs="Arial"/>
          <w:szCs w:val="24"/>
        </w:rPr>
        <w:t xml:space="preserve">. </w:t>
      </w:r>
    </w:p>
    <w:p w:rsidR="007E054D" w:rsidRPr="00245720" w:rsidRDefault="007E054D" w:rsidP="009932D7">
      <w:pPr>
        <w:spacing w:after="120" w:line="288" w:lineRule="auto"/>
        <w:jc w:val="both"/>
        <w:rPr>
          <w:rFonts w:cs="Arial"/>
          <w:szCs w:val="24"/>
          <w:highlight w:val="yellow"/>
        </w:rPr>
      </w:pPr>
    </w:p>
    <w:p w:rsidR="007E054D" w:rsidRPr="00F51BAA" w:rsidRDefault="007E054D" w:rsidP="009932D7">
      <w:pPr>
        <w:spacing w:after="120" w:line="288" w:lineRule="auto"/>
        <w:jc w:val="both"/>
        <w:rPr>
          <w:rFonts w:cs="Arial"/>
          <w:szCs w:val="24"/>
        </w:rPr>
      </w:pPr>
      <w:r w:rsidRPr="00F51BAA">
        <w:rPr>
          <w:rFonts w:cs="Arial"/>
          <w:szCs w:val="24"/>
        </w:rPr>
        <w:t xml:space="preserve">Vale ressaltar que a lei de licitações (Lei Federal 8.666/1993) até permite que o Estado faça uma negociação com o vencedor do certame, a fim de reduzir ainda mais a proposta ofertada. </w:t>
      </w:r>
      <w:r w:rsidR="00495CBF">
        <w:rPr>
          <w:rFonts w:cs="Arial"/>
          <w:szCs w:val="24"/>
        </w:rPr>
        <w:t>A título de exemplo, numa</w:t>
      </w:r>
      <w:r w:rsidRPr="00F51BAA">
        <w:rPr>
          <w:rFonts w:cs="Arial"/>
          <w:szCs w:val="24"/>
        </w:rPr>
        <w:t xml:space="preserve"> negociação</w:t>
      </w:r>
      <w:r w:rsidR="00495CBF">
        <w:rPr>
          <w:rFonts w:cs="Arial"/>
          <w:szCs w:val="24"/>
        </w:rPr>
        <w:t xml:space="preserve"> desse tipo</w:t>
      </w:r>
      <w:r w:rsidRPr="00F51BAA">
        <w:rPr>
          <w:rFonts w:cs="Arial"/>
          <w:szCs w:val="24"/>
        </w:rPr>
        <w:t>, o Estado pode</w:t>
      </w:r>
      <w:r w:rsidR="00BA0A90">
        <w:rPr>
          <w:rFonts w:cs="Arial"/>
          <w:szCs w:val="24"/>
        </w:rPr>
        <w:t xml:space="preserve"> </w:t>
      </w:r>
      <w:r w:rsidRPr="00F51BAA">
        <w:rPr>
          <w:rFonts w:cs="Arial"/>
          <w:szCs w:val="24"/>
        </w:rPr>
        <w:t>solicitar</w:t>
      </w:r>
      <w:r w:rsidR="00BA0A90">
        <w:rPr>
          <w:rFonts w:cs="Arial"/>
          <w:szCs w:val="24"/>
        </w:rPr>
        <w:t>, a um eventual vencedor de mais de um lote,</w:t>
      </w:r>
      <w:r w:rsidRPr="00F51BAA">
        <w:rPr>
          <w:rFonts w:cs="Arial"/>
          <w:szCs w:val="24"/>
        </w:rPr>
        <w:t xml:space="preserve"> que a economia de escala e sinergia dos equipamentos pudessem ser </w:t>
      </w:r>
      <w:proofErr w:type="gramStart"/>
      <w:r w:rsidRPr="00F51BAA">
        <w:rPr>
          <w:rFonts w:cs="Arial"/>
          <w:szCs w:val="24"/>
        </w:rPr>
        <w:t>descontadas das propostas</w:t>
      </w:r>
      <w:proofErr w:type="gramEnd"/>
      <w:r w:rsidRPr="00F51BAA">
        <w:rPr>
          <w:rFonts w:cs="Arial"/>
          <w:szCs w:val="24"/>
        </w:rPr>
        <w:t>, de modo que os contratos fossem assinados com valores menores dos que apresentados originalmente. Entretanto, como</w:t>
      </w:r>
      <w:r w:rsidR="00495CBF">
        <w:rPr>
          <w:rFonts w:cs="Arial"/>
          <w:szCs w:val="24"/>
        </w:rPr>
        <w:t xml:space="preserve"> se trata</w:t>
      </w:r>
      <w:r w:rsidRPr="00F51BAA">
        <w:rPr>
          <w:rFonts w:cs="Arial"/>
          <w:szCs w:val="24"/>
        </w:rPr>
        <w:t xml:space="preserve"> de uma negociação na qual o vencedor dos lotes não tem nenhuma obrigação de aceitar </w:t>
      </w:r>
      <w:r w:rsidR="00BA0A90">
        <w:rPr>
          <w:rFonts w:cs="Arial"/>
          <w:szCs w:val="24"/>
        </w:rPr>
        <w:t>o pedido do</w:t>
      </w:r>
      <w:r w:rsidRPr="00F51BAA">
        <w:rPr>
          <w:rFonts w:cs="Arial"/>
          <w:szCs w:val="24"/>
        </w:rPr>
        <w:t xml:space="preserve"> desconto, o Estado fica numa posição frágil, sem poder de barganha. Além disso, como a negociação </w:t>
      </w:r>
      <w:r w:rsidR="00BA0A90">
        <w:rPr>
          <w:rFonts w:cs="Arial"/>
          <w:szCs w:val="24"/>
        </w:rPr>
        <w:t>seria</w:t>
      </w:r>
      <w:r w:rsidRPr="00F51BAA">
        <w:rPr>
          <w:rFonts w:cs="Arial"/>
          <w:szCs w:val="24"/>
        </w:rPr>
        <w:t xml:space="preserve"> realizada somente entre o Estado e o vencedor, abre-se margem para especulação sobre </w:t>
      </w:r>
      <w:r w:rsidR="00BA0A90">
        <w:rPr>
          <w:rFonts w:cs="Arial"/>
          <w:szCs w:val="24"/>
        </w:rPr>
        <w:t>a transparência do ato</w:t>
      </w:r>
      <w:r w:rsidRPr="00F51BAA">
        <w:rPr>
          <w:rFonts w:cs="Arial"/>
          <w:szCs w:val="24"/>
        </w:rPr>
        <w:t xml:space="preserve">, uma vez que é realizada em sessão fechada. Com isso, ainda que o mecanismo de negociação esteja previsto na lei nacional de licitações, o Estado fica sem instrumentos </w:t>
      </w:r>
      <w:r w:rsidR="00BA0A90">
        <w:rPr>
          <w:rFonts w:cs="Arial"/>
          <w:szCs w:val="24"/>
        </w:rPr>
        <w:t xml:space="preserve">eficazes </w:t>
      </w:r>
      <w:r w:rsidRPr="00F51BAA">
        <w:rPr>
          <w:rFonts w:cs="Arial"/>
          <w:szCs w:val="24"/>
        </w:rPr>
        <w:t xml:space="preserve">para se beneficiar das vantagens competitivas que o licitante obteve ao sagrar-se vencedor em dois lotes. Em outras palavras, o licitante terá </w:t>
      </w:r>
      <w:r w:rsidR="00BA0A90">
        <w:rPr>
          <w:rFonts w:cs="Arial"/>
          <w:szCs w:val="24"/>
        </w:rPr>
        <w:t>uma margem maior sem qualquer obrigação de dividi-la com o contratante (Estado)</w:t>
      </w:r>
      <w:r w:rsidRPr="00F51BAA">
        <w:rPr>
          <w:rFonts w:cs="Arial"/>
          <w:szCs w:val="24"/>
        </w:rPr>
        <w:t>.</w:t>
      </w:r>
    </w:p>
    <w:p w:rsidR="007E054D" w:rsidRPr="00F51BAA" w:rsidRDefault="007E054D" w:rsidP="009932D7">
      <w:pPr>
        <w:spacing w:after="120" w:line="288" w:lineRule="auto"/>
        <w:jc w:val="both"/>
        <w:rPr>
          <w:rFonts w:cs="Arial"/>
          <w:szCs w:val="24"/>
        </w:rPr>
      </w:pPr>
    </w:p>
    <w:p w:rsidR="00BA0A90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245720">
        <w:rPr>
          <w:rFonts w:cs="Arial"/>
          <w:szCs w:val="24"/>
        </w:rPr>
        <w:t xml:space="preserve">Assim, </w:t>
      </w:r>
      <w:r w:rsidR="00BA0A90">
        <w:rPr>
          <w:rFonts w:cs="Arial"/>
          <w:szCs w:val="24"/>
        </w:rPr>
        <w:t xml:space="preserve">percebeu-se que havia uma grande oportunidade para se aprimorar a qualidade do gasto </w:t>
      </w:r>
      <w:r w:rsidR="00266426">
        <w:rPr>
          <w:rFonts w:cs="Arial"/>
          <w:szCs w:val="24"/>
        </w:rPr>
        <w:t xml:space="preserve">estatal </w:t>
      </w:r>
      <w:r w:rsidR="00BA0A90">
        <w:rPr>
          <w:rFonts w:cs="Arial"/>
          <w:szCs w:val="24"/>
        </w:rPr>
        <w:t xml:space="preserve">nos contratos de obras públicas através da adoção de um conjunto de </w:t>
      </w:r>
      <w:r w:rsidR="00266426">
        <w:rPr>
          <w:rFonts w:cs="Arial"/>
          <w:szCs w:val="24"/>
        </w:rPr>
        <w:t xml:space="preserve">ações coordenadas a ser implantado no planejamento e condução dos </w:t>
      </w:r>
      <w:r w:rsidR="00266426">
        <w:rPr>
          <w:rFonts w:cs="Arial"/>
          <w:szCs w:val="24"/>
        </w:rPr>
        <w:lastRenderedPageBreak/>
        <w:t>processos licitatórios que resultariam nesses contratos. Essas ações, cuja implantação exigiu pouquíssimo investimento</w:t>
      </w:r>
      <w:proofErr w:type="gramStart"/>
      <w:r w:rsidR="00266426">
        <w:rPr>
          <w:rFonts w:cs="Arial"/>
          <w:szCs w:val="24"/>
        </w:rPr>
        <w:t xml:space="preserve"> mas</w:t>
      </w:r>
      <w:proofErr w:type="gramEnd"/>
      <w:r w:rsidR="00266426">
        <w:rPr>
          <w:rFonts w:cs="Arial"/>
          <w:szCs w:val="24"/>
        </w:rPr>
        <w:t xml:space="preserve"> muita criatividade, resultariam em redução dos preços unitários dos contratos através do estímulo à competitividade e apropriação </w:t>
      </w:r>
      <w:r w:rsidR="005E4E44">
        <w:rPr>
          <w:rFonts w:cs="Arial"/>
          <w:szCs w:val="24"/>
        </w:rPr>
        <w:t>parcial</w:t>
      </w:r>
      <w:r w:rsidR="00266426">
        <w:rPr>
          <w:rFonts w:cs="Arial"/>
          <w:szCs w:val="24"/>
        </w:rPr>
        <w:t xml:space="preserve"> do eventual ganho de escala auf</w:t>
      </w:r>
      <w:r w:rsidR="005E4E44">
        <w:rPr>
          <w:rFonts w:cs="Arial"/>
          <w:szCs w:val="24"/>
        </w:rPr>
        <w:t>erido pelos licitantes, sem qualquer sacrifício aos quantitativos do escopo e/ou sua qualidade.</w:t>
      </w:r>
    </w:p>
    <w:p w:rsidR="00BA0A90" w:rsidRDefault="00BA0A90" w:rsidP="009932D7">
      <w:pPr>
        <w:spacing w:after="120" w:line="288" w:lineRule="auto"/>
        <w:jc w:val="both"/>
        <w:rPr>
          <w:rFonts w:cs="Arial"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szCs w:val="24"/>
        </w:rPr>
        <w:t xml:space="preserve">Após </w:t>
      </w:r>
      <w:r w:rsidR="00E763D9">
        <w:rPr>
          <w:rFonts w:cs="Arial"/>
          <w:szCs w:val="24"/>
        </w:rPr>
        <w:t>um processo de criação de amadurecimento da iniciativa</w:t>
      </w:r>
      <w:r w:rsidRPr="001263ED">
        <w:rPr>
          <w:rFonts w:cs="Arial"/>
          <w:szCs w:val="24"/>
        </w:rPr>
        <w:t xml:space="preserve">, </w:t>
      </w:r>
      <w:r w:rsidR="00E763D9">
        <w:rPr>
          <w:rFonts w:cs="Arial"/>
          <w:szCs w:val="24"/>
        </w:rPr>
        <w:t>foi elaborado</w:t>
      </w:r>
      <w:r w:rsidRPr="001263ED">
        <w:rPr>
          <w:rFonts w:cs="Arial"/>
          <w:szCs w:val="24"/>
        </w:rPr>
        <w:t xml:space="preserve"> o mecanismo</w:t>
      </w:r>
      <w:r w:rsidR="00E763D9">
        <w:rPr>
          <w:rFonts w:cs="Arial"/>
          <w:szCs w:val="24"/>
        </w:rPr>
        <w:t xml:space="preserve"> licitatório apresentado nesse documento, o qual cumpre a função de dar mais competitividade e permitir a apropriação do ganho de escala, </w:t>
      </w:r>
      <w:r w:rsidRPr="001263ED">
        <w:rPr>
          <w:rFonts w:cs="Arial"/>
          <w:szCs w:val="24"/>
        </w:rPr>
        <w:t xml:space="preserve">trazendo os benefícios descritos </w:t>
      </w:r>
      <w:r w:rsidR="00E763D9">
        <w:rPr>
          <w:rFonts w:cs="Arial"/>
          <w:szCs w:val="24"/>
        </w:rPr>
        <w:t>a seguir</w:t>
      </w:r>
      <w:r w:rsidRPr="001263ED">
        <w:rPr>
          <w:rFonts w:cs="Arial"/>
          <w:szCs w:val="24"/>
        </w:rPr>
        <w:t>.</w:t>
      </w:r>
    </w:p>
    <w:p w:rsidR="009932D7" w:rsidRPr="00E763D9" w:rsidRDefault="009932D7" w:rsidP="009932D7">
      <w:pPr>
        <w:spacing w:after="120" w:line="288" w:lineRule="auto"/>
        <w:jc w:val="both"/>
        <w:rPr>
          <w:rFonts w:cs="Arial"/>
          <w:szCs w:val="24"/>
        </w:rPr>
      </w:pPr>
    </w:p>
    <w:p w:rsidR="00E763D9" w:rsidRPr="00E763D9" w:rsidRDefault="00E763D9" w:rsidP="009932D7">
      <w:pPr>
        <w:spacing w:after="120" w:line="288" w:lineRule="auto"/>
        <w:jc w:val="both"/>
        <w:rPr>
          <w:rFonts w:cs="Arial"/>
          <w:szCs w:val="24"/>
        </w:rPr>
      </w:pPr>
      <w:r w:rsidRPr="00E763D9">
        <w:rPr>
          <w:rFonts w:cs="Arial"/>
          <w:szCs w:val="24"/>
        </w:rPr>
        <w:t xml:space="preserve">Importante relatar que essa iniciativa foi inscrita no Prêmio Mario Covas de 2013. Porém, o amadurecimento do projeto ao longo de 2013 e a criação da categoria melhoria do gasto público, </w:t>
      </w:r>
      <w:r w:rsidR="00463279">
        <w:rPr>
          <w:rFonts w:cs="Arial"/>
          <w:szCs w:val="24"/>
        </w:rPr>
        <w:t xml:space="preserve">reforçaram sua relevância e </w:t>
      </w:r>
      <w:r w:rsidRPr="00E763D9">
        <w:rPr>
          <w:rFonts w:cs="Arial"/>
          <w:szCs w:val="24"/>
        </w:rPr>
        <w:t>lev</w:t>
      </w:r>
      <w:r w:rsidR="00463279">
        <w:rPr>
          <w:rFonts w:cs="Arial"/>
          <w:szCs w:val="24"/>
        </w:rPr>
        <w:t>aram</w:t>
      </w:r>
      <w:r w:rsidRPr="00E763D9">
        <w:rPr>
          <w:rFonts w:cs="Arial"/>
          <w:szCs w:val="24"/>
        </w:rPr>
        <w:t xml:space="preserve"> a equipe a reinscrevê-lo nesta edição 2014, incluindo os avanços obtidos.</w:t>
      </w:r>
    </w:p>
    <w:p w:rsidR="00245720" w:rsidRDefault="00245720" w:rsidP="009932D7">
      <w:pPr>
        <w:spacing w:after="120" w:line="288" w:lineRule="auto"/>
        <w:jc w:val="both"/>
        <w:rPr>
          <w:rFonts w:cs="Arial"/>
          <w:szCs w:val="24"/>
        </w:rPr>
      </w:pPr>
    </w:p>
    <w:p w:rsidR="00E763D9" w:rsidRPr="00E763D9" w:rsidRDefault="00E763D9" w:rsidP="009932D7">
      <w:pPr>
        <w:spacing w:after="120" w:line="288" w:lineRule="auto"/>
        <w:jc w:val="both"/>
        <w:rPr>
          <w:rFonts w:cs="Arial"/>
          <w:szCs w:val="24"/>
        </w:rPr>
      </w:pPr>
    </w:p>
    <w:p w:rsidR="00E763D9" w:rsidRPr="00E763D9" w:rsidRDefault="009932D7" w:rsidP="009932D7">
      <w:pPr>
        <w:spacing w:after="120" w:line="288" w:lineRule="auto"/>
        <w:jc w:val="both"/>
        <w:rPr>
          <w:rFonts w:cs="Arial"/>
          <w:b/>
          <w:szCs w:val="24"/>
          <w:u w:val="single"/>
        </w:rPr>
      </w:pPr>
      <w:r w:rsidRPr="00E763D9">
        <w:rPr>
          <w:rFonts w:cs="Arial"/>
          <w:b/>
          <w:szCs w:val="24"/>
          <w:u w:val="single"/>
        </w:rPr>
        <w:t xml:space="preserve">Solução adotada </w:t>
      </w:r>
    </w:p>
    <w:p w:rsidR="00A10629" w:rsidRDefault="00A10629" w:rsidP="00A10629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Em função do gigantismo dos contratos de obras públicas, quanto maior o tamanho de um lote (e, por conseguinte, seu valor), maiores são as oportunidades para se registrar ganhos de escala. Contudo, da mesma forma, menor deverá ser o número de empreiteiras que consegue se habilitar para a disputa em função do tamanho da obra (e dos atestados de capacitação técnica que serão necessários para comprovar expertise técnica e saúde financeira). Com menos empresas, menos competição, e com isso parte do ganho de escala não é carregado para os preços ofertados.</w:t>
      </w:r>
    </w:p>
    <w:p w:rsidR="00A10629" w:rsidRDefault="00A10629" w:rsidP="00A10629">
      <w:pPr>
        <w:spacing w:after="120" w:line="288" w:lineRule="auto"/>
        <w:jc w:val="both"/>
        <w:rPr>
          <w:rFonts w:cs="Arial"/>
          <w:szCs w:val="24"/>
        </w:rPr>
      </w:pPr>
    </w:p>
    <w:p w:rsidR="00A10629" w:rsidRDefault="00A10629" w:rsidP="00A10629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DESCONTO ADICIONAL POR GANHO DE ESCALA é um mecanismo que objetiva </w:t>
      </w:r>
      <w:r w:rsidRPr="00463279">
        <w:rPr>
          <w:rFonts w:cs="Arial"/>
          <w:b/>
          <w:szCs w:val="24"/>
        </w:rPr>
        <w:t>reduzir o valor dos preços unitários dos contratos de obras públicas</w:t>
      </w:r>
      <w:r>
        <w:rPr>
          <w:rFonts w:cs="Arial"/>
          <w:szCs w:val="24"/>
        </w:rPr>
        <w:t xml:space="preserve"> através conciliação desses dois fatores, até então conflitantes: a ampliação da competitividade na disputa e a apropriação, pelo contratante, de reduções de custos observadas pelo contratado em função do ganho de escala.</w:t>
      </w:r>
    </w:p>
    <w:p w:rsidR="00A10629" w:rsidRDefault="00A10629" w:rsidP="00A10629">
      <w:pPr>
        <w:spacing w:after="120" w:line="288" w:lineRule="auto"/>
        <w:jc w:val="both"/>
        <w:rPr>
          <w:rFonts w:cs="Arial"/>
          <w:szCs w:val="24"/>
        </w:rPr>
      </w:pPr>
    </w:p>
    <w:p w:rsidR="00E763D9" w:rsidRDefault="00A10629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 mecanismo é adotado na DERSA desde 2012 e sua execução ao longo do processo de contratação é feita em duas fases:</w:t>
      </w:r>
    </w:p>
    <w:p w:rsidR="00A10629" w:rsidRDefault="00576078" w:rsidP="00A10629">
      <w:pPr>
        <w:pStyle w:val="PargrafodaLista"/>
        <w:numPr>
          <w:ilvl w:val="0"/>
          <w:numId w:val="17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Seleção dos lotes</w:t>
      </w:r>
      <w:r w:rsidR="00A10629">
        <w:rPr>
          <w:rFonts w:cs="Arial"/>
          <w:szCs w:val="24"/>
        </w:rPr>
        <w:t xml:space="preserve">: </w:t>
      </w:r>
      <w:proofErr w:type="gramStart"/>
      <w:r w:rsidR="00A10629">
        <w:rPr>
          <w:rFonts w:cs="Arial"/>
          <w:szCs w:val="24"/>
        </w:rPr>
        <w:t>após</w:t>
      </w:r>
      <w:proofErr w:type="gramEnd"/>
      <w:r w:rsidR="00A10629">
        <w:rPr>
          <w:rFonts w:cs="Arial"/>
          <w:szCs w:val="24"/>
        </w:rPr>
        <w:t xml:space="preserve"> finalizado o projeto da obra, técnicos e diretoria da empresa discutem a divisão dos lotes e característica de cada um, de </w:t>
      </w:r>
      <w:r w:rsidR="00A10629">
        <w:rPr>
          <w:rFonts w:cs="Arial"/>
          <w:szCs w:val="24"/>
        </w:rPr>
        <w:lastRenderedPageBreak/>
        <w:t>forma a promover a competitividade (permitir o maior número possível de concorrentes</w:t>
      </w:r>
      <w:r>
        <w:rPr>
          <w:rFonts w:cs="Arial"/>
          <w:szCs w:val="24"/>
        </w:rPr>
        <w:t xml:space="preserve"> através da participação isolada ou combinada de lotes</w:t>
      </w:r>
      <w:r w:rsidR="00A10629">
        <w:rPr>
          <w:rFonts w:cs="Arial"/>
          <w:szCs w:val="24"/>
        </w:rPr>
        <w:t>);</w:t>
      </w:r>
    </w:p>
    <w:p w:rsidR="00A10629" w:rsidRPr="00A10629" w:rsidRDefault="00B42461" w:rsidP="00A10629">
      <w:pPr>
        <w:pStyle w:val="PargrafodaLista"/>
        <w:numPr>
          <w:ilvl w:val="0"/>
          <w:numId w:val="17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Processo licitatório</w:t>
      </w:r>
      <w:r w:rsidR="00576078">
        <w:rPr>
          <w:rFonts w:cs="Arial"/>
          <w:szCs w:val="24"/>
        </w:rPr>
        <w:t xml:space="preserve">: Inclusão, no edital da licitação, da possibilidade dos licitantes qualificados a apresentar proposta para a combinação de lotes </w:t>
      </w:r>
      <w:proofErr w:type="gramStart"/>
      <w:r w:rsidR="00576078">
        <w:rPr>
          <w:rFonts w:cs="Arial"/>
          <w:szCs w:val="24"/>
        </w:rPr>
        <w:t>ofertar</w:t>
      </w:r>
      <w:proofErr w:type="gramEnd"/>
      <w:r w:rsidR="00576078">
        <w:rPr>
          <w:rFonts w:cs="Arial"/>
          <w:szCs w:val="24"/>
        </w:rPr>
        <w:t xml:space="preserve"> desconto linear adicional sobre os preços de sua proposta para vencerem mais de um lote.</w:t>
      </w:r>
    </w:p>
    <w:p w:rsidR="00A10629" w:rsidRDefault="00A10629" w:rsidP="009932D7">
      <w:pPr>
        <w:spacing w:after="120" w:line="288" w:lineRule="auto"/>
        <w:jc w:val="both"/>
        <w:rPr>
          <w:rFonts w:cs="Arial"/>
          <w:szCs w:val="24"/>
        </w:rPr>
      </w:pPr>
    </w:p>
    <w:p w:rsidR="00A10629" w:rsidRDefault="00576078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Fase I – Seleção dos Lotes</w:t>
      </w:r>
    </w:p>
    <w:p w:rsidR="00A10629" w:rsidRDefault="00576078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Para vencer uma licitação, o contratado deve comprovar saúde financeira e expertise técnica proporcional ao desafio (técnico e econômico) que irá enfrentar ao longo do contrato. Portanto, nesta fase, busca-se dividir a obra em lotes de forma a minimizar elementos que possam funcionar como restrições à entrada de competidores.</w:t>
      </w:r>
      <w:r w:rsidR="00B42461">
        <w:rPr>
          <w:rFonts w:cs="Arial"/>
          <w:szCs w:val="24"/>
        </w:rPr>
        <w:t xml:space="preserve"> </w:t>
      </w:r>
    </w:p>
    <w:p w:rsidR="00B42461" w:rsidRDefault="00B42461" w:rsidP="009932D7">
      <w:pPr>
        <w:spacing w:after="120" w:line="288" w:lineRule="auto"/>
        <w:jc w:val="both"/>
        <w:rPr>
          <w:rFonts w:cs="Arial"/>
          <w:szCs w:val="24"/>
        </w:rPr>
      </w:pPr>
    </w:p>
    <w:p w:rsidR="00B42461" w:rsidRDefault="00B42461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 resultado da fase de seleção de lotes precisa guardar coerência com o conjunto completo da obra</w:t>
      </w:r>
      <w:proofErr w:type="gramStart"/>
      <w:r>
        <w:rPr>
          <w:rFonts w:cs="Arial"/>
          <w:szCs w:val="24"/>
        </w:rPr>
        <w:t xml:space="preserve"> mas</w:t>
      </w:r>
      <w:proofErr w:type="gramEnd"/>
      <w:r>
        <w:rPr>
          <w:rFonts w:cs="Arial"/>
          <w:szCs w:val="24"/>
        </w:rPr>
        <w:t xml:space="preserve"> deve conter trechos com distribuição adequada de quantitativos e encerrar valores que favoreçam a entrada de competidores no certame.</w:t>
      </w:r>
    </w:p>
    <w:p w:rsidR="00B42461" w:rsidRDefault="00B42461" w:rsidP="009932D7">
      <w:pPr>
        <w:spacing w:after="120" w:line="288" w:lineRule="auto"/>
        <w:jc w:val="both"/>
        <w:rPr>
          <w:rFonts w:cs="Arial"/>
          <w:szCs w:val="24"/>
        </w:rPr>
      </w:pPr>
    </w:p>
    <w:p w:rsidR="00B42461" w:rsidRDefault="00B42461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Fase II – Processo Licitatório</w:t>
      </w:r>
    </w:p>
    <w:p w:rsidR="00E763D9" w:rsidRDefault="00B42461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Após conhecidas </w:t>
      </w:r>
      <w:proofErr w:type="gramStart"/>
      <w:r>
        <w:rPr>
          <w:rFonts w:cs="Arial"/>
          <w:szCs w:val="24"/>
        </w:rPr>
        <w:t>as</w:t>
      </w:r>
      <w:proofErr w:type="gramEnd"/>
      <w:r>
        <w:rPr>
          <w:rFonts w:cs="Arial"/>
          <w:szCs w:val="24"/>
        </w:rPr>
        <w:t xml:space="preserve"> características de cada lote, é incluído no edital da licitação a possibilidade de uso, para os licitantes que possuírem qualificação técnica e econômica para disputar mais de um lote da obra, de um mecanismo de desconto linear adicional </w:t>
      </w:r>
      <w:r w:rsidR="00B43C13">
        <w:rPr>
          <w:rFonts w:cs="Arial"/>
          <w:szCs w:val="24"/>
        </w:rPr>
        <w:t xml:space="preserve">e opcional, </w:t>
      </w:r>
      <w:r>
        <w:rPr>
          <w:rFonts w:cs="Arial"/>
          <w:szCs w:val="24"/>
        </w:rPr>
        <w:t xml:space="preserve">que só será considerado se resultar no melhor preço para uma combinação de </w:t>
      </w:r>
      <w:r w:rsidR="00B43C13">
        <w:rPr>
          <w:rFonts w:cs="Arial"/>
          <w:szCs w:val="24"/>
        </w:rPr>
        <w:t xml:space="preserve">mais de um </w:t>
      </w:r>
      <w:r>
        <w:rPr>
          <w:rFonts w:cs="Arial"/>
          <w:szCs w:val="24"/>
        </w:rPr>
        <w:t>lote.</w:t>
      </w:r>
    </w:p>
    <w:p w:rsidR="00B42461" w:rsidRDefault="00B42461" w:rsidP="009932D7">
      <w:pPr>
        <w:spacing w:after="120" w:line="288" w:lineRule="auto"/>
        <w:jc w:val="both"/>
        <w:rPr>
          <w:rFonts w:cs="Arial"/>
          <w:szCs w:val="24"/>
        </w:rPr>
      </w:pPr>
    </w:p>
    <w:p w:rsidR="00766A92" w:rsidRDefault="00766A92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Ou seja, já na sua elaboração da proposta, o licitante pode oferecer um valor para a execução de um único lote e um desconto adicional caso </w:t>
      </w:r>
      <w:r w:rsidR="00B43C13">
        <w:rPr>
          <w:rFonts w:cs="Arial"/>
          <w:szCs w:val="24"/>
        </w:rPr>
        <w:t>seja</w:t>
      </w:r>
      <w:r>
        <w:rPr>
          <w:rFonts w:cs="Arial"/>
          <w:szCs w:val="24"/>
        </w:rPr>
        <w:t xml:space="preserve"> vencedor em outro lote também. Essa regra consta do próprio edital e permite que os participantes tenham clareza e </w:t>
      </w:r>
      <w:proofErr w:type="gramStart"/>
      <w:r>
        <w:rPr>
          <w:rFonts w:cs="Arial"/>
          <w:szCs w:val="24"/>
        </w:rPr>
        <w:t>objetividade</w:t>
      </w:r>
      <w:r w:rsidR="00B43C13">
        <w:rPr>
          <w:rFonts w:cs="Arial"/>
          <w:szCs w:val="24"/>
        </w:rPr>
        <w:t>,</w:t>
      </w:r>
      <w:proofErr w:type="gramEnd"/>
      <w:r>
        <w:rPr>
          <w:rFonts w:cs="Arial"/>
          <w:szCs w:val="24"/>
        </w:rPr>
        <w:t>ao elaborarem suas propostas, abrindo mão dos lucros, ou melhor, compartilhando com o Estado os ganhos de escala e sinergia obtidos com a execução de 2</w:t>
      </w:r>
      <w:r w:rsidR="00B43C13">
        <w:rPr>
          <w:rFonts w:cs="Arial"/>
          <w:szCs w:val="24"/>
        </w:rPr>
        <w:t xml:space="preserve"> ou mais</w:t>
      </w:r>
      <w:r>
        <w:rPr>
          <w:rFonts w:cs="Arial"/>
          <w:szCs w:val="24"/>
        </w:rPr>
        <w:t xml:space="preserve"> lotes numa mesma obra.</w:t>
      </w:r>
    </w:p>
    <w:p w:rsidR="00766A92" w:rsidRDefault="00766A92" w:rsidP="009932D7">
      <w:pPr>
        <w:spacing w:after="120" w:line="288" w:lineRule="auto"/>
        <w:jc w:val="both"/>
        <w:rPr>
          <w:rFonts w:cs="Arial"/>
          <w:szCs w:val="24"/>
        </w:rPr>
      </w:pPr>
    </w:p>
    <w:p w:rsidR="009932D7" w:rsidRPr="001263ED" w:rsidRDefault="00766A92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Em suma, p</w:t>
      </w:r>
      <w:r w:rsidR="009932D7" w:rsidRPr="001263ED">
        <w:rPr>
          <w:rFonts w:cs="Arial"/>
          <w:szCs w:val="24"/>
        </w:rPr>
        <w:t xml:space="preserve">ara viabilizar essa solução, o edital de obras </w:t>
      </w:r>
      <w:r>
        <w:rPr>
          <w:rFonts w:cs="Arial"/>
          <w:szCs w:val="24"/>
        </w:rPr>
        <w:t xml:space="preserve">de ter </w:t>
      </w:r>
      <w:r w:rsidR="009932D7" w:rsidRPr="001263ED">
        <w:rPr>
          <w:rFonts w:cs="Arial"/>
          <w:szCs w:val="24"/>
        </w:rPr>
        <w:t>as seguintes características:</w:t>
      </w:r>
    </w:p>
    <w:p w:rsidR="009932D7" w:rsidRDefault="009932D7" w:rsidP="009932D7">
      <w:pPr>
        <w:pStyle w:val="PargrafodaLista"/>
        <w:numPr>
          <w:ilvl w:val="0"/>
          <w:numId w:val="14"/>
        </w:numPr>
        <w:spacing w:after="120" w:line="288" w:lineRule="auto"/>
        <w:jc w:val="both"/>
        <w:rPr>
          <w:rFonts w:cs="Arial"/>
          <w:szCs w:val="24"/>
        </w:rPr>
      </w:pPr>
      <w:r w:rsidRPr="00F15C40">
        <w:rPr>
          <w:rFonts w:cs="Arial"/>
          <w:szCs w:val="24"/>
        </w:rPr>
        <w:lastRenderedPageBreak/>
        <w:t>As propostas comerciais devem ser entregues num único envelope, como de praxe, porém identificando os valores para cada lote a qual est</w:t>
      </w:r>
      <w:r w:rsidR="00766A92">
        <w:rPr>
          <w:rFonts w:cs="Arial"/>
          <w:szCs w:val="24"/>
        </w:rPr>
        <w:t>á</w:t>
      </w:r>
      <w:r w:rsidRPr="00F15C40">
        <w:rPr>
          <w:rFonts w:cs="Arial"/>
          <w:szCs w:val="24"/>
        </w:rPr>
        <w:t xml:space="preserve"> </w:t>
      </w:r>
      <w:r w:rsidR="00766A92">
        <w:rPr>
          <w:rFonts w:cs="Arial"/>
          <w:szCs w:val="24"/>
        </w:rPr>
        <w:t>concorrendo</w:t>
      </w:r>
      <w:r w:rsidRPr="00F15C40">
        <w:rPr>
          <w:rFonts w:cs="Arial"/>
          <w:szCs w:val="24"/>
        </w:rPr>
        <w:t>. Em outras palavras, as propostas p</w:t>
      </w:r>
      <w:r w:rsidR="00766A92">
        <w:rPr>
          <w:rFonts w:cs="Arial"/>
          <w:szCs w:val="24"/>
        </w:rPr>
        <w:t>o</w:t>
      </w:r>
      <w:r w:rsidRPr="00F15C40">
        <w:rPr>
          <w:rFonts w:cs="Arial"/>
          <w:szCs w:val="24"/>
        </w:rPr>
        <w:t xml:space="preserve">dem ser apresentadas para lotes individuais ou qualquer combinação de até </w:t>
      </w:r>
      <w:proofErr w:type="gramStart"/>
      <w:r w:rsidRPr="00F15C40">
        <w:rPr>
          <w:rFonts w:cs="Arial"/>
          <w:szCs w:val="24"/>
        </w:rPr>
        <w:t>2</w:t>
      </w:r>
      <w:proofErr w:type="gramEnd"/>
      <w:r w:rsidRPr="00F15C40">
        <w:rPr>
          <w:rFonts w:cs="Arial"/>
          <w:szCs w:val="24"/>
        </w:rPr>
        <w:t xml:space="preserve"> lotes. Os licitantes que qu</w:t>
      </w:r>
      <w:r w:rsidR="00766A92">
        <w:rPr>
          <w:rFonts w:cs="Arial"/>
          <w:szCs w:val="24"/>
        </w:rPr>
        <w:t>iserem</w:t>
      </w:r>
      <w:r w:rsidRPr="00F15C40">
        <w:rPr>
          <w:rFonts w:cs="Arial"/>
          <w:szCs w:val="24"/>
        </w:rPr>
        <w:t xml:space="preserve"> podem oferecer qualquer redução no preço ou desconto para a adjudicação de mais de um lote, devendo especificar na proposta enviada à DERSA as reduções ou descontos aplicáveis a cada pacote ou, alternativamente, os lotes individuais dentro do pacote;</w:t>
      </w:r>
    </w:p>
    <w:p w:rsidR="009932D7" w:rsidRDefault="009932D7" w:rsidP="009932D7">
      <w:pPr>
        <w:pStyle w:val="PargrafodaLista"/>
        <w:numPr>
          <w:ilvl w:val="0"/>
          <w:numId w:val="14"/>
        </w:numPr>
        <w:spacing w:after="120" w:line="288" w:lineRule="auto"/>
        <w:jc w:val="both"/>
        <w:rPr>
          <w:rFonts w:cs="Arial"/>
          <w:szCs w:val="24"/>
        </w:rPr>
      </w:pPr>
      <w:r w:rsidRPr="00F15C40">
        <w:rPr>
          <w:rFonts w:cs="Arial"/>
          <w:szCs w:val="24"/>
        </w:rPr>
        <w:t xml:space="preserve">Para os licitantes </w:t>
      </w:r>
      <w:r w:rsidR="00766A92">
        <w:rPr>
          <w:rFonts w:cs="Arial"/>
          <w:szCs w:val="24"/>
        </w:rPr>
        <w:t xml:space="preserve">habilitados </w:t>
      </w:r>
      <w:r w:rsidRPr="00F15C40">
        <w:rPr>
          <w:rFonts w:cs="Arial"/>
          <w:szCs w:val="24"/>
        </w:rPr>
        <w:t xml:space="preserve">para uma ou mais combinação de lotes, </w:t>
      </w:r>
      <w:r w:rsidR="00766A92">
        <w:rPr>
          <w:rFonts w:cs="Arial"/>
          <w:szCs w:val="24"/>
        </w:rPr>
        <w:t>é</w:t>
      </w:r>
      <w:r w:rsidRPr="00F15C40">
        <w:rPr>
          <w:rFonts w:cs="Arial"/>
          <w:szCs w:val="24"/>
        </w:rPr>
        <w:t xml:space="preserve"> dada a faculdade de oferecer uma taxa de desconto linear em um ou nos dois lotes combinados. Por exemplo: o consórcio X, que estava </w:t>
      </w:r>
      <w:r w:rsidR="00766A92">
        <w:rPr>
          <w:rFonts w:cs="Arial"/>
          <w:szCs w:val="24"/>
        </w:rPr>
        <w:t xml:space="preserve">habilitado </w:t>
      </w:r>
      <w:r w:rsidRPr="00F15C40">
        <w:rPr>
          <w:rFonts w:cs="Arial"/>
          <w:szCs w:val="24"/>
        </w:rPr>
        <w:t xml:space="preserve">individualmente e para a combinação dos lotes </w:t>
      </w:r>
      <w:proofErr w:type="gramStart"/>
      <w:r w:rsidRPr="00F15C40">
        <w:rPr>
          <w:rFonts w:cs="Arial"/>
          <w:szCs w:val="24"/>
        </w:rPr>
        <w:t>1</w:t>
      </w:r>
      <w:proofErr w:type="gramEnd"/>
      <w:r w:rsidRPr="00F15C40">
        <w:rPr>
          <w:rFonts w:cs="Arial"/>
          <w:szCs w:val="24"/>
        </w:rPr>
        <w:t xml:space="preserve"> e 2, deve apresentar sua proposta de preço para o lote 1 e para o lote 2 separadamente. O consórcio pod</w:t>
      </w:r>
      <w:r w:rsidR="00766A92">
        <w:rPr>
          <w:rFonts w:cs="Arial"/>
          <w:szCs w:val="24"/>
        </w:rPr>
        <w:t>e</w:t>
      </w:r>
      <w:r w:rsidRPr="00F15C40">
        <w:rPr>
          <w:rFonts w:cs="Arial"/>
          <w:szCs w:val="24"/>
        </w:rPr>
        <w:t xml:space="preserve">, também, oferecer um desconto de 10% (ou outro valor por ele definido) na sua proposta para o lote </w:t>
      </w:r>
      <w:proofErr w:type="gramStart"/>
      <w:r w:rsidRPr="00F15C40">
        <w:rPr>
          <w:rFonts w:cs="Arial"/>
          <w:szCs w:val="24"/>
        </w:rPr>
        <w:t>1</w:t>
      </w:r>
      <w:proofErr w:type="gramEnd"/>
      <w:r w:rsidRPr="00F15C40">
        <w:rPr>
          <w:rFonts w:cs="Arial"/>
          <w:szCs w:val="24"/>
        </w:rPr>
        <w:t xml:space="preserve">, caso </w:t>
      </w:r>
      <w:r w:rsidR="00766A92">
        <w:rPr>
          <w:rFonts w:cs="Arial"/>
          <w:szCs w:val="24"/>
        </w:rPr>
        <w:t>seja</w:t>
      </w:r>
      <w:r w:rsidRPr="00F15C40">
        <w:rPr>
          <w:rFonts w:cs="Arial"/>
          <w:szCs w:val="24"/>
        </w:rPr>
        <w:t xml:space="preserve"> o vencedor do lote 2; e outro desconto de 15% para o lote 2, caso </w:t>
      </w:r>
      <w:r w:rsidR="00766A92">
        <w:rPr>
          <w:rFonts w:cs="Arial"/>
          <w:szCs w:val="24"/>
        </w:rPr>
        <w:t>seja</w:t>
      </w:r>
      <w:r w:rsidRPr="00F15C40">
        <w:rPr>
          <w:rFonts w:cs="Arial"/>
          <w:szCs w:val="24"/>
        </w:rPr>
        <w:t xml:space="preserve"> o vencedor do lote 1. Assim, se o consórcio X oferec</w:t>
      </w:r>
      <w:r w:rsidR="00766A92">
        <w:rPr>
          <w:rFonts w:cs="Arial"/>
          <w:szCs w:val="24"/>
        </w:rPr>
        <w:t>er</w:t>
      </w:r>
      <w:r w:rsidRPr="00F15C40">
        <w:rPr>
          <w:rFonts w:cs="Arial"/>
          <w:szCs w:val="24"/>
        </w:rPr>
        <w:t xml:space="preserve"> uma proposta de R$100 milhões para o lote </w:t>
      </w:r>
      <w:proofErr w:type="gramStart"/>
      <w:r w:rsidRPr="00F15C40">
        <w:rPr>
          <w:rFonts w:cs="Arial"/>
          <w:szCs w:val="24"/>
        </w:rPr>
        <w:t>1</w:t>
      </w:r>
      <w:proofErr w:type="gramEnd"/>
      <w:r w:rsidRPr="00F15C40">
        <w:rPr>
          <w:rFonts w:cs="Arial"/>
          <w:szCs w:val="24"/>
        </w:rPr>
        <w:t xml:space="preserve"> e de R$200 milhões para o lote 2, caso </w:t>
      </w:r>
      <w:r w:rsidR="00766A92">
        <w:rPr>
          <w:rFonts w:cs="Arial"/>
          <w:szCs w:val="24"/>
        </w:rPr>
        <w:t>seja</w:t>
      </w:r>
      <w:r w:rsidRPr="00F15C40">
        <w:rPr>
          <w:rFonts w:cs="Arial"/>
          <w:szCs w:val="24"/>
        </w:rPr>
        <w:t xml:space="preserve"> o vencedor desses dois lotes, o valor final de sua proposta ser</w:t>
      </w:r>
      <w:r w:rsidR="00766A92">
        <w:rPr>
          <w:rFonts w:cs="Arial"/>
          <w:szCs w:val="24"/>
        </w:rPr>
        <w:t>á</w:t>
      </w:r>
      <w:r w:rsidRPr="00F15C40">
        <w:rPr>
          <w:rFonts w:cs="Arial"/>
          <w:szCs w:val="24"/>
        </w:rPr>
        <w:t xml:space="preserve"> de R$90 milhões para o lote 1 e R$170 milhões para o lote 2, de modo que o total dos dois lotes sair</w:t>
      </w:r>
      <w:r w:rsidR="00766A92">
        <w:rPr>
          <w:rFonts w:cs="Arial"/>
          <w:szCs w:val="24"/>
        </w:rPr>
        <w:t>á</w:t>
      </w:r>
      <w:r w:rsidRPr="00F15C40">
        <w:rPr>
          <w:rFonts w:cs="Arial"/>
          <w:szCs w:val="24"/>
        </w:rPr>
        <w:t xml:space="preserve"> para a DERSA por  R$260 milhões, ao invés de R$300 milhões, gerando uma economia de R$40 milhões;</w:t>
      </w:r>
    </w:p>
    <w:p w:rsidR="009932D7" w:rsidRDefault="009932D7" w:rsidP="009932D7">
      <w:pPr>
        <w:pStyle w:val="PargrafodaLista"/>
        <w:numPr>
          <w:ilvl w:val="0"/>
          <w:numId w:val="14"/>
        </w:numPr>
        <w:spacing w:after="120" w:line="288" w:lineRule="auto"/>
        <w:jc w:val="both"/>
        <w:rPr>
          <w:rFonts w:cs="Arial"/>
          <w:szCs w:val="24"/>
        </w:rPr>
      </w:pPr>
      <w:r w:rsidRPr="00F15C40">
        <w:rPr>
          <w:rFonts w:cs="Arial"/>
          <w:szCs w:val="24"/>
        </w:rPr>
        <w:t>Assim, s</w:t>
      </w:r>
      <w:r w:rsidR="00766A92">
        <w:rPr>
          <w:rFonts w:cs="Arial"/>
          <w:szCs w:val="24"/>
        </w:rPr>
        <w:t>ão</w:t>
      </w:r>
      <w:r w:rsidRPr="00F15C40">
        <w:rPr>
          <w:rFonts w:cs="Arial"/>
          <w:szCs w:val="24"/>
        </w:rPr>
        <w:t xml:space="preserve"> </w:t>
      </w:r>
      <w:r w:rsidRPr="00F15C40">
        <w:rPr>
          <w:rFonts w:cs="Arial"/>
          <w:noProof/>
          <w:szCs w:val="24"/>
        </w:rPr>
        <w:t>selecionadas como vencedoras da Licitação as propostas que resultem, no seu conjunto, na maior economia para o contratante, ou seja, que resultem no menor valor proposto global para a Licitação, considerando todos os lotes em conjunto e os respectivos descontos ofertados nas propostas;</w:t>
      </w:r>
    </w:p>
    <w:p w:rsidR="009932D7" w:rsidRPr="00F15C40" w:rsidRDefault="009932D7" w:rsidP="009932D7">
      <w:pPr>
        <w:pStyle w:val="PargrafodaLista"/>
        <w:numPr>
          <w:ilvl w:val="0"/>
          <w:numId w:val="14"/>
        </w:numPr>
        <w:spacing w:after="120" w:line="288" w:lineRule="auto"/>
        <w:jc w:val="both"/>
        <w:rPr>
          <w:rFonts w:cs="Arial"/>
          <w:szCs w:val="24"/>
        </w:rPr>
      </w:pPr>
      <w:r w:rsidRPr="00F15C40">
        <w:rPr>
          <w:rFonts w:cs="Arial"/>
          <w:szCs w:val="24"/>
        </w:rPr>
        <w:t xml:space="preserve">Portanto, a </w:t>
      </w:r>
      <w:r w:rsidRPr="00F15C40">
        <w:rPr>
          <w:rFonts w:cs="Arial"/>
          <w:noProof/>
          <w:szCs w:val="24"/>
        </w:rPr>
        <w:t>classificação das propostas, em cada lote, ser</w:t>
      </w:r>
      <w:r w:rsidR="00766A92">
        <w:rPr>
          <w:rFonts w:cs="Arial"/>
          <w:noProof/>
          <w:szCs w:val="24"/>
        </w:rPr>
        <w:t>á</w:t>
      </w:r>
      <w:r w:rsidRPr="00F15C40">
        <w:rPr>
          <w:rFonts w:cs="Arial"/>
          <w:noProof/>
          <w:szCs w:val="24"/>
        </w:rPr>
        <w:t xml:space="preserve"> feita somente após determinar o conjunto de propostas vencedoras da Licitação, classificando-se em primeiro lugar, em cada lote, a proposta que fize</w:t>
      </w:r>
      <w:r w:rsidR="00766A92">
        <w:rPr>
          <w:rFonts w:cs="Arial"/>
          <w:noProof/>
          <w:szCs w:val="24"/>
        </w:rPr>
        <w:t>r</w:t>
      </w:r>
      <w:r w:rsidRPr="00F15C40">
        <w:rPr>
          <w:rFonts w:cs="Arial"/>
          <w:noProof/>
          <w:szCs w:val="24"/>
        </w:rPr>
        <w:t xml:space="preserve"> parte desse conjunto de propostas vencedoras da Licitação, podendo ocorrer que um Licitante não seja considerado vencedor de determinado lote, mesmo que tenha apresentado a proposta avaliada como a mais baixa para aquele lote, considerado isoladamente. Em outras palvras: utilizando o exemplo acima, ainda que um licitante tenha ofertado R$95 milhões para o lote 1 isoladamente (que estaria abaixo da oferta inicial de R$100 milhões do consórcio X), ele não seria o vencedor desse lote, pois com a aplicação do desconto ofertado, o consórcio X venceu pelo valor de R$90 milhões.</w:t>
      </w: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9932D7" w:rsidRDefault="009932D7" w:rsidP="00BD2FCE">
      <w:pPr>
        <w:spacing w:after="120" w:line="288" w:lineRule="auto"/>
        <w:jc w:val="both"/>
        <w:rPr>
          <w:rFonts w:cs="Arial"/>
          <w:noProof/>
          <w:szCs w:val="24"/>
        </w:rPr>
      </w:pPr>
      <w:r w:rsidRPr="001263ED">
        <w:rPr>
          <w:rFonts w:cs="Arial"/>
          <w:noProof/>
          <w:szCs w:val="24"/>
        </w:rPr>
        <w:lastRenderedPageBreak/>
        <w:t xml:space="preserve">De acordo com a metodologia acima, são declaradas vencedoras da </w:t>
      </w:r>
      <w:r w:rsidR="00292C22">
        <w:rPr>
          <w:rFonts w:cs="Arial"/>
          <w:noProof/>
          <w:szCs w:val="24"/>
        </w:rPr>
        <w:t>l</w:t>
      </w:r>
      <w:r w:rsidRPr="001263ED">
        <w:rPr>
          <w:rFonts w:cs="Arial"/>
          <w:noProof/>
          <w:szCs w:val="24"/>
        </w:rPr>
        <w:t xml:space="preserve">icitação as propostas substancialmente adequadas que, atendendo às restrições da </w:t>
      </w:r>
      <w:r w:rsidR="00292C22">
        <w:rPr>
          <w:rFonts w:cs="Arial"/>
          <w:noProof/>
          <w:szCs w:val="24"/>
        </w:rPr>
        <w:t>l</w:t>
      </w:r>
      <w:r w:rsidRPr="001263ED">
        <w:rPr>
          <w:rFonts w:cs="Arial"/>
          <w:noProof/>
          <w:szCs w:val="24"/>
        </w:rPr>
        <w:t xml:space="preserve">icitação e observadas as comprovação, na </w:t>
      </w:r>
      <w:r w:rsidR="00292C22">
        <w:rPr>
          <w:rFonts w:cs="Arial"/>
          <w:noProof/>
          <w:szCs w:val="24"/>
        </w:rPr>
        <w:t>habilitação</w:t>
      </w:r>
      <w:r w:rsidRPr="001263ED">
        <w:rPr>
          <w:rFonts w:cs="Arial"/>
          <w:noProof/>
          <w:szCs w:val="24"/>
        </w:rPr>
        <w:t xml:space="preserve">, de proficiência técnica e saúde financeira para a execução das obras, resultem em menor valor proposto global para a </w:t>
      </w:r>
      <w:r w:rsidR="00292C22">
        <w:rPr>
          <w:rFonts w:cs="Arial"/>
          <w:noProof/>
          <w:szCs w:val="24"/>
        </w:rPr>
        <w:t>l</w:t>
      </w:r>
      <w:r w:rsidRPr="001263ED">
        <w:rPr>
          <w:rFonts w:cs="Arial"/>
          <w:noProof/>
          <w:szCs w:val="24"/>
        </w:rPr>
        <w:t xml:space="preserve">icitação, considerando todos os </w:t>
      </w:r>
      <w:r w:rsidR="00292C22">
        <w:rPr>
          <w:rFonts w:cs="Arial"/>
          <w:noProof/>
          <w:szCs w:val="24"/>
        </w:rPr>
        <w:t>l</w:t>
      </w:r>
      <w:r w:rsidRPr="001263ED">
        <w:rPr>
          <w:rFonts w:cs="Arial"/>
          <w:noProof/>
          <w:szCs w:val="24"/>
        </w:rPr>
        <w:t>otes em conjunto e os respectivos descontos ofertados nas Propostas.</w:t>
      </w:r>
    </w:p>
    <w:p w:rsidR="00292C22" w:rsidRPr="001263ED" w:rsidRDefault="00292C22" w:rsidP="00BD2FCE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BD2FCE" w:rsidRPr="00BD2FCE" w:rsidRDefault="00292C22" w:rsidP="00BD2FCE">
      <w:pPr>
        <w:pStyle w:val="Corpodetexto"/>
        <w:spacing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Cabe ressaltar que, para funcionar com sucesso, há neste mecanismo uma exceção e uma condição. </w:t>
      </w:r>
      <w:r w:rsidR="00BD2FCE" w:rsidRPr="00BD2FCE">
        <w:rPr>
          <w:rFonts w:cs="Arial"/>
          <w:noProof/>
          <w:szCs w:val="24"/>
        </w:rPr>
        <w:t xml:space="preserve">A única exceção para essa regra diz respeito ao caso de um determinado lote obter apenas uma proposta e, no sentido de evitar que o lote seja declarado deserto, será adjudicado à licitante detentora da única oferta, ainda que não seja a proposta de menor valor, mas desde que esse valor esteja abaixo do Orçamento Estimativo. </w:t>
      </w:r>
      <w:r>
        <w:rPr>
          <w:rFonts w:cs="Arial"/>
          <w:noProof/>
          <w:szCs w:val="24"/>
        </w:rPr>
        <w:t>Já a condição é que seja uma licitação de concorrência pública, tipo menor preço.</w:t>
      </w:r>
    </w:p>
    <w:p w:rsidR="009932D7" w:rsidRDefault="009932D7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B43C13" w:rsidRPr="00B43C13" w:rsidRDefault="00B43C13" w:rsidP="009932D7">
      <w:pPr>
        <w:spacing w:after="120" w:line="288" w:lineRule="auto"/>
        <w:jc w:val="both"/>
        <w:rPr>
          <w:rFonts w:cs="Arial"/>
          <w:noProof/>
          <w:szCs w:val="24"/>
          <w:u w:val="single"/>
        </w:rPr>
      </w:pPr>
      <w:r w:rsidRPr="00B43C13">
        <w:rPr>
          <w:rFonts w:cs="Arial"/>
          <w:noProof/>
          <w:szCs w:val="24"/>
          <w:u w:val="single"/>
        </w:rPr>
        <w:t>Investimentos necessários à implantação do mecanismo</w:t>
      </w:r>
    </w:p>
    <w:p w:rsidR="00B43C13" w:rsidRDefault="00B43C1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O principal investimento para a implantação do DESCONTO POR GANHO DE ESCALA se deu ao longo do processo de criação e desenvolvimento da idéia, em especial na formatação da Fase II. Estima-se que o processo de composição dos editais e seu posterior aprimoramento e análise jurídica tenha consumido cerca de </w:t>
      </w:r>
      <w:r w:rsidR="000538B3">
        <w:rPr>
          <w:rFonts w:cs="Arial"/>
          <w:noProof/>
          <w:szCs w:val="24"/>
        </w:rPr>
        <w:t>6</w:t>
      </w:r>
      <w:r>
        <w:rPr>
          <w:rFonts w:cs="Arial"/>
          <w:noProof/>
          <w:szCs w:val="24"/>
        </w:rPr>
        <w:t>00 homens-hora de pessoal técnico e diretores da empresa. Nesse montante também está contemplado o esforço consumido para a elaboração da tese de defesa que culminou com a aprovação do mecanismo no Tribunal de Contas.</w:t>
      </w:r>
    </w:p>
    <w:p w:rsidR="00B43C13" w:rsidRDefault="00B43C13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B43C13" w:rsidRDefault="00B43C1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Embora configure como a etapa de maior esforço concentrado, a Fase II tem aplicação geral (pois a redação dada ao ed</w:t>
      </w:r>
      <w:r w:rsidR="000538B3">
        <w:rPr>
          <w:rFonts w:cs="Arial"/>
          <w:noProof/>
          <w:szCs w:val="24"/>
        </w:rPr>
        <w:t>ital se repete), não gerando novos custos adicionais a cada licitação realizada.</w:t>
      </w: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Já na Fase I, como cada contratação é única, a execução dessa etapa implica em um acréscimo de cerca de 30 a 50 homens-hora, entre técnicos e diretores, além do esforço tradicionalmente envolvido no planejamento de uma obra. </w:t>
      </w:r>
    </w:p>
    <w:p w:rsidR="00B43C13" w:rsidRDefault="00B43C13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B43C1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Numa perspectiva conservadora, considerando um valor bruto médio</w:t>
      </w:r>
      <w:r>
        <w:rPr>
          <w:rStyle w:val="Refdenotaderodap"/>
          <w:rFonts w:cs="Arial"/>
          <w:noProof/>
          <w:szCs w:val="24"/>
        </w:rPr>
        <w:footnoteReference w:id="1"/>
      </w:r>
      <w:r>
        <w:rPr>
          <w:rFonts w:cs="Arial"/>
          <w:noProof/>
          <w:szCs w:val="24"/>
        </w:rPr>
        <w:t xml:space="preserve"> para cada hora trabalhada de R$ 150 por hora, o DESCONTO PARA GANHO DE ESCALA representa um investimento de:</w:t>
      </w: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Fase II:</w:t>
      </w:r>
      <w:r>
        <w:rPr>
          <w:rFonts w:cs="Arial"/>
          <w:noProof/>
          <w:szCs w:val="24"/>
        </w:rPr>
        <w:tab/>
      </w:r>
      <w:r>
        <w:rPr>
          <w:rFonts w:cs="Arial"/>
          <w:noProof/>
          <w:szCs w:val="24"/>
        </w:rPr>
        <w:tab/>
      </w:r>
      <w:r w:rsidR="00707512">
        <w:rPr>
          <w:rFonts w:cs="Arial"/>
          <w:noProof/>
          <w:szCs w:val="24"/>
        </w:rPr>
        <w:tab/>
      </w:r>
      <w:r w:rsidR="00707512">
        <w:rPr>
          <w:rFonts w:cs="Arial"/>
          <w:noProof/>
          <w:szCs w:val="24"/>
        </w:rPr>
        <w:tab/>
      </w:r>
      <w:r w:rsidR="00707512">
        <w:rPr>
          <w:rFonts w:cs="Arial"/>
          <w:b/>
          <w:noProof/>
          <w:szCs w:val="24"/>
        </w:rPr>
        <w:t>R$ 90.000,</w:t>
      </w:r>
      <w:r w:rsidRPr="00707512">
        <w:rPr>
          <w:rFonts w:cs="Arial"/>
          <w:b/>
          <w:noProof/>
          <w:szCs w:val="24"/>
        </w:rPr>
        <w:t>00</w:t>
      </w: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Fase I:</w:t>
      </w:r>
      <w:r>
        <w:rPr>
          <w:rFonts w:cs="Arial"/>
          <w:noProof/>
          <w:szCs w:val="24"/>
        </w:rPr>
        <w:tab/>
      </w:r>
      <w:r>
        <w:rPr>
          <w:rFonts w:cs="Arial"/>
          <w:noProof/>
          <w:szCs w:val="24"/>
        </w:rPr>
        <w:tab/>
      </w:r>
      <w:r w:rsidR="00707512">
        <w:rPr>
          <w:rFonts w:cs="Arial"/>
          <w:noProof/>
          <w:szCs w:val="24"/>
        </w:rPr>
        <w:tab/>
      </w:r>
      <w:r w:rsidR="00707512">
        <w:rPr>
          <w:rFonts w:cs="Arial"/>
          <w:noProof/>
          <w:szCs w:val="24"/>
        </w:rPr>
        <w:tab/>
        <w:t>R$   7.500</w:t>
      </w:r>
      <w:r>
        <w:rPr>
          <w:rFonts w:cs="Arial"/>
          <w:noProof/>
          <w:szCs w:val="24"/>
        </w:rPr>
        <w:t>,00 (por licitação)</w:t>
      </w: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(x3 licitações)</w:t>
      </w:r>
      <w:r>
        <w:rPr>
          <w:rFonts w:cs="Arial"/>
          <w:noProof/>
          <w:szCs w:val="24"/>
        </w:rPr>
        <w:tab/>
      </w:r>
      <w:r w:rsidR="00707512">
        <w:rPr>
          <w:rFonts w:cs="Arial"/>
          <w:noProof/>
          <w:szCs w:val="24"/>
        </w:rPr>
        <w:tab/>
      </w:r>
      <w:r w:rsidR="00707512">
        <w:rPr>
          <w:rFonts w:cs="Arial"/>
          <w:noProof/>
          <w:szCs w:val="24"/>
        </w:rPr>
        <w:tab/>
      </w:r>
      <w:r w:rsidRPr="00707512">
        <w:rPr>
          <w:rFonts w:cs="Arial"/>
          <w:b/>
          <w:noProof/>
          <w:szCs w:val="24"/>
        </w:rPr>
        <w:t xml:space="preserve">R$ </w:t>
      </w:r>
      <w:r w:rsidR="00707512">
        <w:rPr>
          <w:rFonts w:cs="Arial"/>
          <w:b/>
          <w:noProof/>
          <w:szCs w:val="24"/>
        </w:rPr>
        <w:t>22.500</w:t>
      </w:r>
      <w:r w:rsidRPr="00707512">
        <w:rPr>
          <w:rFonts w:cs="Arial"/>
          <w:b/>
          <w:noProof/>
          <w:szCs w:val="24"/>
        </w:rPr>
        <w:t>,00</w:t>
      </w: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707512" w:rsidRPr="00707512" w:rsidRDefault="00707512" w:rsidP="009932D7">
      <w:pPr>
        <w:spacing w:after="120" w:line="288" w:lineRule="auto"/>
        <w:jc w:val="both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>I</w:t>
      </w:r>
      <w:r w:rsidRPr="00707512">
        <w:rPr>
          <w:rFonts w:cs="Arial"/>
          <w:b/>
          <w:noProof/>
          <w:szCs w:val="24"/>
        </w:rPr>
        <w:t>mplantação</w:t>
      </w:r>
      <w:r>
        <w:rPr>
          <w:rFonts w:cs="Arial"/>
          <w:b/>
          <w:noProof/>
          <w:szCs w:val="24"/>
        </w:rPr>
        <w:t xml:space="preserve"> (Fase I e II)</w:t>
      </w:r>
      <w:r w:rsidRPr="00707512">
        <w:rPr>
          <w:rFonts w:cs="Arial"/>
          <w:b/>
          <w:noProof/>
          <w:szCs w:val="24"/>
        </w:rPr>
        <w:t>:</w:t>
      </w:r>
      <w:r>
        <w:rPr>
          <w:rFonts w:cs="Arial"/>
          <w:b/>
          <w:noProof/>
          <w:szCs w:val="24"/>
        </w:rPr>
        <w:tab/>
      </w:r>
      <w:r w:rsidRPr="00707512">
        <w:rPr>
          <w:rFonts w:cs="Arial"/>
          <w:b/>
          <w:noProof/>
          <w:szCs w:val="24"/>
        </w:rPr>
        <w:tab/>
        <w:t>R$ 112.500,00</w:t>
      </w:r>
    </w:p>
    <w:p w:rsidR="00707512" w:rsidRDefault="00707512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0538B3" w:rsidRDefault="000538B3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Como se verá em detalhes adiante, o mecanismo foi testado em três oportunidades, gerando uma redução</w:t>
      </w:r>
      <w:r w:rsidR="00707512">
        <w:rPr>
          <w:rFonts w:cs="Arial"/>
          <w:noProof/>
          <w:szCs w:val="24"/>
        </w:rPr>
        <w:t xml:space="preserve"> real</w:t>
      </w:r>
      <w:r>
        <w:rPr>
          <w:rFonts w:cs="Arial"/>
          <w:noProof/>
          <w:szCs w:val="24"/>
        </w:rPr>
        <w:t xml:space="preserve"> de preços de </w:t>
      </w:r>
      <w:r w:rsidR="00707512">
        <w:rPr>
          <w:rFonts w:cs="Arial"/>
          <w:noProof/>
          <w:szCs w:val="24"/>
        </w:rPr>
        <w:t>R$ 186,</w:t>
      </w:r>
      <w:r>
        <w:rPr>
          <w:rFonts w:cs="Arial"/>
          <w:noProof/>
          <w:szCs w:val="24"/>
        </w:rPr>
        <w:t>4 milh</w:t>
      </w:r>
      <w:r w:rsidR="00707512">
        <w:rPr>
          <w:rFonts w:cs="Arial"/>
          <w:noProof/>
          <w:szCs w:val="24"/>
        </w:rPr>
        <w:t>ões, a um custo de implantação da ordem de R$ 113 mil. Ou seja, um investimento quase 1.650 vezes menor que o retorno.</w:t>
      </w:r>
    </w:p>
    <w:p w:rsidR="00B43C13" w:rsidRDefault="00B43C13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802029" w:rsidRDefault="00802029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No que tange à competitividade, o sistema elevou a competição nos empreendimentos onde foi testado, resultando em 25 participantes no Rodoanel Norte, bem como na Nova Tamoios Contornos.</w:t>
      </w:r>
    </w:p>
    <w:p w:rsidR="00802029" w:rsidRPr="001263ED" w:rsidRDefault="00802029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b/>
          <w:szCs w:val="24"/>
        </w:rPr>
      </w:pPr>
      <w:r w:rsidRPr="001263ED">
        <w:rPr>
          <w:rFonts w:cs="Arial"/>
          <w:b/>
          <w:szCs w:val="24"/>
        </w:rPr>
        <w:t xml:space="preserve">Características da iniciativa </w:t>
      </w: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Inovação</w:t>
      </w:r>
      <w:r w:rsidRPr="001263ED">
        <w:rPr>
          <w:rFonts w:cs="Arial"/>
          <w:szCs w:val="24"/>
        </w:rPr>
        <w:t xml:space="preserve"> </w:t>
      </w:r>
    </w:p>
    <w:p w:rsidR="009932D7" w:rsidRDefault="009932D7" w:rsidP="009932D7">
      <w:pPr>
        <w:spacing w:after="120" w:line="288" w:lineRule="auto"/>
        <w:jc w:val="both"/>
        <w:rPr>
          <w:rFonts w:cs="Arial"/>
          <w:noProof/>
          <w:szCs w:val="24"/>
        </w:rPr>
      </w:pPr>
      <w:r w:rsidRPr="001263ED">
        <w:rPr>
          <w:rFonts w:cs="Arial"/>
          <w:noProof/>
          <w:szCs w:val="24"/>
        </w:rPr>
        <w:t xml:space="preserve">A maior inovação </w:t>
      </w:r>
      <w:r w:rsidR="00707512">
        <w:rPr>
          <w:rFonts w:cs="Arial"/>
          <w:noProof/>
          <w:szCs w:val="24"/>
        </w:rPr>
        <w:t xml:space="preserve">dessa iniciativa foi o enfoque criativo que permitiu, sem exigir investimentos vultosos, </w:t>
      </w:r>
      <w:r w:rsidRPr="001263ED">
        <w:rPr>
          <w:rFonts w:cs="Arial"/>
          <w:noProof/>
          <w:szCs w:val="24"/>
        </w:rPr>
        <w:t xml:space="preserve">possibilitar </w:t>
      </w:r>
      <w:r w:rsidR="00707512">
        <w:rPr>
          <w:rFonts w:cs="Arial"/>
          <w:noProof/>
          <w:szCs w:val="24"/>
        </w:rPr>
        <w:t xml:space="preserve">conciliar competitividade com </w:t>
      </w:r>
      <w:r w:rsidRPr="001263ED">
        <w:rPr>
          <w:rFonts w:cs="Arial"/>
          <w:noProof/>
          <w:szCs w:val="24"/>
        </w:rPr>
        <w:t>economia de escala obtida p</w:t>
      </w:r>
      <w:r w:rsidR="00707512">
        <w:rPr>
          <w:rFonts w:cs="Arial"/>
          <w:noProof/>
          <w:szCs w:val="24"/>
        </w:rPr>
        <w:t>or eventuais</w:t>
      </w:r>
      <w:r w:rsidRPr="001263ED">
        <w:rPr>
          <w:rFonts w:cs="Arial"/>
          <w:noProof/>
          <w:szCs w:val="24"/>
        </w:rPr>
        <w:t xml:space="preserve"> vencedor</w:t>
      </w:r>
      <w:r w:rsidR="00707512">
        <w:rPr>
          <w:rFonts w:cs="Arial"/>
          <w:noProof/>
          <w:szCs w:val="24"/>
        </w:rPr>
        <w:t>es</w:t>
      </w:r>
      <w:r w:rsidRPr="001263ED">
        <w:rPr>
          <w:rFonts w:cs="Arial"/>
          <w:noProof/>
          <w:szCs w:val="24"/>
        </w:rPr>
        <w:t xml:space="preserve"> de dois</w:t>
      </w:r>
      <w:r w:rsidR="00707512">
        <w:rPr>
          <w:rFonts w:cs="Arial"/>
          <w:noProof/>
          <w:szCs w:val="24"/>
        </w:rPr>
        <w:t xml:space="preserve"> ou mais</w:t>
      </w:r>
      <w:r w:rsidRPr="001263ED">
        <w:rPr>
          <w:rFonts w:cs="Arial"/>
          <w:noProof/>
          <w:szCs w:val="24"/>
        </w:rPr>
        <w:t xml:space="preserve"> lotes</w:t>
      </w:r>
      <w:r w:rsidR="00F51BAA">
        <w:rPr>
          <w:rFonts w:cs="Arial"/>
          <w:noProof/>
          <w:szCs w:val="24"/>
        </w:rPr>
        <w:t>, de uma forma objetiva e transparente</w:t>
      </w:r>
      <w:r w:rsidRPr="001263ED">
        <w:rPr>
          <w:rFonts w:cs="Arial"/>
          <w:noProof/>
          <w:szCs w:val="24"/>
        </w:rPr>
        <w:t xml:space="preserve">. </w:t>
      </w:r>
      <w:r w:rsidR="00707512">
        <w:rPr>
          <w:rFonts w:cs="Arial"/>
          <w:noProof/>
          <w:szCs w:val="24"/>
        </w:rPr>
        <w:t>Nas licitações onde o mecanismo de DESCONTO POR GANHO DE ESCALA foi utilizado</w:t>
      </w:r>
      <w:r w:rsidRPr="001263ED">
        <w:rPr>
          <w:rFonts w:cs="Arial"/>
          <w:noProof/>
          <w:szCs w:val="24"/>
        </w:rPr>
        <w:t xml:space="preserve">, </w:t>
      </w:r>
      <w:r w:rsidR="00707512">
        <w:rPr>
          <w:rFonts w:cs="Arial"/>
          <w:noProof/>
          <w:szCs w:val="24"/>
        </w:rPr>
        <w:t>houve muita competição e o licitante que venceu</w:t>
      </w:r>
      <w:r w:rsidRPr="001263ED">
        <w:rPr>
          <w:rFonts w:cs="Arial"/>
          <w:noProof/>
          <w:szCs w:val="24"/>
        </w:rPr>
        <w:t xml:space="preserve"> dois lotes da mesma obra </w:t>
      </w:r>
      <w:r w:rsidR="00707512">
        <w:rPr>
          <w:rFonts w:cs="Arial"/>
          <w:noProof/>
          <w:szCs w:val="24"/>
        </w:rPr>
        <w:t xml:space="preserve">transferiu ao Estado, sob a forma de redução de preços, parte da </w:t>
      </w:r>
      <w:r w:rsidRPr="001263ED">
        <w:rPr>
          <w:rFonts w:cs="Arial"/>
          <w:noProof/>
          <w:szCs w:val="24"/>
        </w:rPr>
        <w:t>vantagens comerciais e ganhos de escala</w:t>
      </w:r>
      <w:r w:rsidR="00707512">
        <w:rPr>
          <w:rFonts w:cs="Arial"/>
          <w:noProof/>
          <w:szCs w:val="24"/>
        </w:rPr>
        <w:t xml:space="preserve"> que terá na execução da obra advindos do compartilhamento do</w:t>
      </w:r>
      <w:r w:rsidRPr="001263ED">
        <w:rPr>
          <w:rFonts w:cs="Arial"/>
          <w:noProof/>
          <w:szCs w:val="24"/>
        </w:rPr>
        <w:t xml:space="preserve"> canteiro de obras, equipamentos, maquinários etc</w:t>
      </w:r>
      <w:r w:rsidR="00707512">
        <w:rPr>
          <w:rFonts w:cs="Arial"/>
          <w:noProof/>
          <w:szCs w:val="24"/>
        </w:rPr>
        <w:t xml:space="preserve">. Tudo isso, </w:t>
      </w:r>
      <w:r w:rsidR="00F51BAA">
        <w:rPr>
          <w:rFonts w:cs="Arial"/>
          <w:noProof/>
          <w:szCs w:val="24"/>
        </w:rPr>
        <w:t>descrito em</w:t>
      </w:r>
      <w:r w:rsidRPr="001263ED">
        <w:rPr>
          <w:rFonts w:cs="Arial"/>
          <w:noProof/>
          <w:szCs w:val="24"/>
        </w:rPr>
        <w:t xml:space="preserve"> sua proposta comercial</w:t>
      </w:r>
      <w:r w:rsidR="009A1C27">
        <w:rPr>
          <w:rFonts w:cs="Arial"/>
          <w:noProof/>
          <w:szCs w:val="24"/>
        </w:rPr>
        <w:t xml:space="preserve"> e </w:t>
      </w:r>
      <w:r w:rsidR="00707512">
        <w:rPr>
          <w:rFonts w:cs="Arial"/>
          <w:noProof/>
          <w:szCs w:val="24"/>
        </w:rPr>
        <w:t xml:space="preserve">de forma transparente e conhecida </w:t>
      </w:r>
      <w:r w:rsidR="009A1C27">
        <w:rPr>
          <w:rFonts w:cs="Arial"/>
          <w:noProof/>
          <w:szCs w:val="24"/>
        </w:rPr>
        <w:t xml:space="preserve">por todos os </w:t>
      </w:r>
      <w:r w:rsidR="00707512">
        <w:rPr>
          <w:rFonts w:cs="Arial"/>
          <w:noProof/>
          <w:szCs w:val="24"/>
        </w:rPr>
        <w:t xml:space="preserve">demais </w:t>
      </w:r>
      <w:r w:rsidR="009A1C27">
        <w:rPr>
          <w:rFonts w:cs="Arial"/>
          <w:noProof/>
          <w:szCs w:val="24"/>
        </w:rPr>
        <w:t>concorrentes desde o momento de abertura dos envelopes da proposta comercial</w:t>
      </w:r>
      <w:r w:rsidRPr="001263ED">
        <w:rPr>
          <w:rFonts w:cs="Arial"/>
          <w:noProof/>
          <w:szCs w:val="24"/>
        </w:rPr>
        <w:t>.</w:t>
      </w:r>
    </w:p>
    <w:p w:rsidR="00292C22" w:rsidRPr="001263ED" w:rsidRDefault="00292C22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9932D7" w:rsidRDefault="009932D7" w:rsidP="009932D7">
      <w:pPr>
        <w:spacing w:after="120" w:line="288" w:lineRule="auto"/>
        <w:jc w:val="both"/>
        <w:rPr>
          <w:rFonts w:cs="Arial"/>
          <w:noProof/>
          <w:szCs w:val="24"/>
        </w:rPr>
      </w:pPr>
      <w:r w:rsidRPr="001263ED">
        <w:rPr>
          <w:rFonts w:cs="Arial"/>
          <w:noProof/>
          <w:szCs w:val="24"/>
        </w:rPr>
        <w:t>No caso concreto da licitação d</w:t>
      </w:r>
      <w:r w:rsidR="009A1C27">
        <w:rPr>
          <w:rFonts w:cs="Arial"/>
          <w:noProof/>
          <w:szCs w:val="24"/>
        </w:rPr>
        <w:t>as</w:t>
      </w:r>
      <w:r w:rsidRPr="001263ED">
        <w:rPr>
          <w:rFonts w:cs="Arial"/>
          <w:noProof/>
          <w:szCs w:val="24"/>
        </w:rPr>
        <w:t xml:space="preserve"> obras do </w:t>
      </w:r>
      <w:r w:rsidR="009A1C27">
        <w:rPr>
          <w:rFonts w:cs="Arial"/>
          <w:noProof/>
          <w:szCs w:val="24"/>
        </w:rPr>
        <w:t>t</w:t>
      </w:r>
      <w:r w:rsidRPr="001263ED">
        <w:rPr>
          <w:rFonts w:cs="Arial"/>
          <w:noProof/>
          <w:szCs w:val="24"/>
        </w:rPr>
        <w:t>recho Norte do Rodoanel Mario Covas</w:t>
      </w:r>
      <w:r w:rsidR="009A1C27">
        <w:rPr>
          <w:rFonts w:cs="Arial"/>
          <w:noProof/>
          <w:szCs w:val="24"/>
        </w:rPr>
        <w:t xml:space="preserve"> (SP-021)</w:t>
      </w:r>
      <w:r w:rsidRPr="001263ED">
        <w:rPr>
          <w:rFonts w:cs="Arial"/>
          <w:noProof/>
          <w:szCs w:val="24"/>
        </w:rPr>
        <w:t xml:space="preserve">, </w:t>
      </w:r>
      <w:r w:rsidR="009A1C27">
        <w:rPr>
          <w:rFonts w:cs="Arial"/>
          <w:noProof/>
          <w:szCs w:val="24"/>
        </w:rPr>
        <w:t xml:space="preserve">concluída em janeiro de 2013, </w:t>
      </w:r>
      <w:r w:rsidR="009A1C27" w:rsidRPr="009A1C27">
        <w:rPr>
          <w:rFonts w:cs="Arial"/>
          <w:b/>
          <w:noProof/>
          <w:szCs w:val="24"/>
        </w:rPr>
        <w:t xml:space="preserve">somente </w:t>
      </w:r>
      <w:r w:rsidRPr="009A1C27">
        <w:rPr>
          <w:rFonts w:cs="Arial"/>
          <w:b/>
          <w:noProof/>
          <w:szCs w:val="24"/>
        </w:rPr>
        <w:t>a aplicação desse mecanismo gerou uma economia de R$ 114,5 milhões</w:t>
      </w:r>
      <w:r w:rsidRPr="001263ED">
        <w:rPr>
          <w:rFonts w:cs="Arial"/>
          <w:noProof/>
          <w:szCs w:val="24"/>
        </w:rPr>
        <w:t xml:space="preserve">, além dos descontos comumente </w:t>
      </w:r>
      <w:r w:rsidRPr="001263ED">
        <w:rPr>
          <w:rFonts w:cs="Arial"/>
          <w:noProof/>
          <w:szCs w:val="24"/>
        </w:rPr>
        <w:lastRenderedPageBreak/>
        <w:t>ofertados. Isto é, se fosse</w:t>
      </w:r>
      <w:r w:rsidR="00BD2FCE">
        <w:rPr>
          <w:rFonts w:cs="Arial"/>
          <w:noProof/>
          <w:szCs w:val="24"/>
        </w:rPr>
        <w:t>m</w:t>
      </w:r>
      <w:r w:rsidRPr="001263ED">
        <w:rPr>
          <w:rFonts w:cs="Arial"/>
          <w:noProof/>
          <w:szCs w:val="24"/>
        </w:rPr>
        <w:t xml:space="preserve"> consideradas apenas as propostas iniciais</w:t>
      </w:r>
      <w:r w:rsidR="009A1C27">
        <w:rPr>
          <w:rFonts w:cs="Arial"/>
          <w:noProof/>
          <w:szCs w:val="24"/>
        </w:rPr>
        <w:t xml:space="preserve"> (sem o desconto linear)</w:t>
      </w:r>
      <w:r w:rsidRPr="001263ED">
        <w:rPr>
          <w:rFonts w:cs="Arial"/>
          <w:noProof/>
          <w:szCs w:val="24"/>
        </w:rPr>
        <w:t xml:space="preserve">, </w:t>
      </w:r>
      <w:r w:rsidR="009A1C27">
        <w:rPr>
          <w:rFonts w:cs="Arial"/>
          <w:noProof/>
          <w:szCs w:val="24"/>
        </w:rPr>
        <w:t>a diferença entre o preço</w:t>
      </w:r>
      <w:r w:rsidRPr="001263ED">
        <w:rPr>
          <w:rFonts w:cs="Arial"/>
          <w:noProof/>
          <w:szCs w:val="24"/>
        </w:rPr>
        <w:t xml:space="preserve"> obtido </w:t>
      </w:r>
      <w:r w:rsidR="009A1C27">
        <w:rPr>
          <w:rFonts w:cs="Arial"/>
          <w:noProof/>
          <w:szCs w:val="24"/>
        </w:rPr>
        <w:t xml:space="preserve">e o valor de referência </w:t>
      </w:r>
      <w:r w:rsidRPr="001263ED">
        <w:rPr>
          <w:rFonts w:cs="Arial"/>
          <w:noProof/>
          <w:szCs w:val="24"/>
        </w:rPr>
        <w:t xml:space="preserve">teria </w:t>
      </w:r>
      <w:r w:rsidR="009A1C27">
        <w:rPr>
          <w:rFonts w:cs="Arial"/>
          <w:noProof/>
          <w:szCs w:val="24"/>
        </w:rPr>
        <w:t>ficado</w:t>
      </w:r>
      <w:r w:rsidRPr="001263ED">
        <w:rPr>
          <w:rFonts w:cs="Arial"/>
          <w:noProof/>
          <w:szCs w:val="24"/>
        </w:rPr>
        <w:t xml:space="preserve"> na casa dos R$ 1,06 bilhão, ao contrário dos R$ 1,17 bilhão obtido no final do processo, com a aplicação do mecanismo.</w:t>
      </w:r>
    </w:p>
    <w:p w:rsidR="00292C22" w:rsidRDefault="00292C22" w:rsidP="00292C22">
      <w:pPr>
        <w:spacing w:after="120" w:line="288" w:lineRule="auto"/>
        <w:jc w:val="both"/>
        <w:rPr>
          <w:rFonts w:cs="Arial"/>
          <w:szCs w:val="24"/>
        </w:rPr>
      </w:pPr>
    </w:p>
    <w:p w:rsidR="00292C22" w:rsidRDefault="00292C22" w:rsidP="00292C22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comparação, os descontos </w:t>
      </w:r>
      <w:r w:rsidR="009A1C27">
        <w:rPr>
          <w:rFonts w:cs="Arial"/>
          <w:szCs w:val="24"/>
        </w:rPr>
        <w:t xml:space="preserve">totais </w:t>
      </w:r>
      <w:r>
        <w:rPr>
          <w:rFonts w:cs="Arial"/>
          <w:szCs w:val="24"/>
        </w:rPr>
        <w:t xml:space="preserve">obtidos na licitação de obras do Trecho Sul </w:t>
      </w:r>
      <w:r w:rsidR="009A1C27">
        <w:rPr>
          <w:rFonts w:cs="Arial"/>
          <w:szCs w:val="24"/>
        </w:rPr>
        <w:t xml:space="preserve">(comparação do preço contratado versus o preço de referência) </w:t>
      </w:r>
      <w:r>
        <w:rPr>
          <w:rFonts w:cs="Arial"/>
          <w:szCs w:val="24"/>
        </w:rPr>
        <w:t>foram de R$ 65 milhões de reais, ou seja, apenas 2,3% em relação ao preço de referência.</w:t>
      </w:r>
    </w:p>
    <w:p w:rsidR="00334FB4" w:rsidRDefault="00334FB4" w:rsidP="00292C22">
      <w:pPr>
        <w:spacing w:after="120" w:line="288" w:lineRule="auto"/>
        <w:jc w:val="both"/>
        <w:rPr>
          <w:rFonts w:cs="Arial"/>
          <w:szCs w:val="24"/>
        </w:rPr>
      </w:pPr>
    </w:p>
    <w:p w:rsidR="00334FB4" w:rsidRDefault="00334FB4" w:rsidP="00292C22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No que tange à competitividade, a divisão racional dos lotes (Fase I) resultou na participação de </w:t>
      </w:r>
      <w:r w:rsidR="00802029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competidores para os </w:t>
      </w:r>
      <w:proofErr w:type="gramStart"/>
      <w:r>
        <w:rPr>
          <w:rFonts w:cs="Arial"/>
          <w:szCs w:val="24"/>
        </w:rPr>
        <w:t>6</w:t>
      </w:r>
      <w:proofErr w:type="gramEnd"/>
      <w:r>
        <w:rPr>
          <w:rFonts w:cs="Arial"/>
          <w:szCs w:val="24"/>
        </w:rPr>
        <w:t xml:space="preserve"> lotes do Rodoanel Norte.</w:t>
      </w:r>
      <w:r w:rsidR="0060565F">
        <w:rPr>
          <w:rFonts w:cs="Arial"/>
          <w:szCs w:val="24"/>
        </w:rPr>
        <w:t xml:space="preserve"> Quando da licitação do trecho Sul do Rodoanel (antes da implantação do mecanismo), esse número ficou restrito a 1</w:t>
      </w:r>
      <w:r w:rsidR="00802029">
        <w:rPr>
          <w:rFonts w:cs="Arial"/>
          <w:szCs w:val="24"/>
        </w:rPr>
        <w:t>8</w:t>
      </w:r>
      <w:r w:rsidR="0060565F">
        <w:rPr>
          <w:rFonts w:cs="Arial"/>
          <w:szCs w:val="24"/>
        </w:rPr>
        <w:t xml:space="preserve"> </w:t>
      </w:r>
      <w:r w:rsidR="00666E74">
        <w:rPr>
          <w:rFonts w:cs="Arial"/>
          <w:szCs w:val="24"/>
        </w:rPr>
        <w:t>licitantes</w:t>
      </w:r>
      <w:r w:rsidR="00802029">
        <w:rPr>
          <w:rFonts w:cs="Arial"/>
          <w:szCs w:val="24"/>
        </w:rPr>
        <w:t xml:space="preserve"> para </w:t>
      </w:r>
      <w:proofErr w:type="gramStart"/>
      <w:r w:rsidR="00802029">
        <w:rPr>
          <w:rFonts w:cs="Arial"/>
          <w:szCs w:val="24"/>
        </w:rPr>
        <w:t>5</w:t>
      </w:r>
      <w:proofErr w:type="gramEnd"/>
      <w:r w:rsidR="00802029">
        <w:rPr>
          <w:rFonts w:cs="Arial"/>
          <w:szCs w:val="24"/>
        </w:rPr>
        <w:t xml:space="preserve"> lotes</w:t>
      </w:r>
      <w:r w:rsidR="00666E74">
        <w:rPr>
          <w:rFonts w:cs="Arial"/>
          <w:szCs w:val="24"/>
        </w:rPr>
        <w:t>.</w:t>
      </w:r>
    </w:p>
    <w:p w:rsidR="00292C22" w:rsidRDefault="00292C22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666E74" w:rsidRPr="001263ED" w:rsidRDefault="00666E74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Ao todo, a diferença entre o preço de referêcia o contratado resultou em uma redução de R$ 1.173 milhões, que perfaz uma redução de 23%.</w:t>
      </w: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proofErr w:type="spellStart"/>
      <w:r w:rsidRPr="001263ED">
        <w:rPr>
          <w:rFonts w:cs="Arial"/>
          <w:b/>
          <w:szCs w:val="24"/>
        </w:rPr>
        <w:t>Replicabilidade</w:t>
      </w:r>
      <w:proofErr w:type="spellEnd"/>
      <w:r w:rsidRPr="001263ED">
        <w:rPr>
          <w:rFonts w:cs="Arial"/>
          <w:szCs w:val="24"/>
        </w:rPr>
        <w:t xml:space="preserve"> </w:t>
      </w:r>
    </w:p>
    <w:p w:rsidR="00292C22" w:rsidRDefault="00292C22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Esse mecanismo foi inicialmente testado </w:t>
      </w:r>
      <w:r w:rsidR="009E74CC">
        <w:rPr>
          <w:rFonts w:cs="Arial"/>
          <w:szCs w:val="24"/>
        </w:rPr>
        <w:t xml:space="preserve">em abril de 2012, </w:t>
      </w:r>
      <w:r>
        <w:rPr>
          <w:rFonts w:cs="Arial"/>
          <w:szCs w:val="24"/>
        </w:rPr>
        <w:t xml:space="preserve">na concorrência </w:t>
      </w:r>
      <w:r w:rsidR="009E74CC">
        <w:t>005/12 da DERSA (“e</w:t>
      </w:r>
      <w:r w:rsidR="009E74CC">
        <w:rPr>
          <w:rFonts w:cs="Arial"/>
        </w:rPr>
        <w:t xml:space="preserve">xecução das obras e serviços de construção de ponte atracadouro, </w:t>
      </w:r>
      <w:proofErr w:type="spellStart"/>
      <w:r w:rsidR="009E74CC">
        <w:rPr>
          <w:rFonts w:cs="Arial"/>
        </w:rPr>
        <w:t>dolfins</w:t>
      </w:r>
      <w:proofErr w:type="spellEnd"/>
      <w:r w:rsidR="009E74CC">
        <w:rPr>
          <w:rFonts w:cs="Arial"/>
        </w:rPr>
        <w:t xml:space="preserve"> de atracação/freio e edificações do centro de controle operacional na travessia Guarujá/Bertioga, compreendendo </w:t>
      </w:r>
      <w:proofErr w:type="gramStart"/>
      <w:r w:rsidR="009E74CC">
        <w:rPr>
          <w:rFonts w:cs="Arial"/>
        </w:rPr>
        <w:t>2</w:t>
      </w:r>
      <w:proofErr w:type="gramEnd"/>
      <w:r w:rsidR="009E74CC">
        <w:rPr>
          <w:rFonts w:cs="Arial"/>
        </w:rPr>
        <w:t xml:space="preserve"> lotes”</w:t>
      </w:r>
      <w:r w:rsidR="009E74CC">
        <w:t xml:space="preserve">). Ao final da licitação </w:t>
      </w:r>
      <w:proofErr w:type="gramStart"/>
      <w:r w:rsidR="009E74CC">
        <w:t>observou-se</w:t>
      </w:r>
      <w:proofErr w:type="gramEnd"/>
      <w:r w:rsidR="009E74CC">
        <w:t xml:space="preserve"> que </w:t>
      </w:r>
      <w:r>
        <w:rPr>
          <w:rFonts w:cs="Arial"/>
          <w:szCs w:val="24"/>
        </w:rPr>
        <w:t xml:space="preserve">o vencedor não </w:t>
      </w:r>
      <w:r w:rsidR="009E74CC">
        <w:rPr>
          <w:rFonts w:cs="Arial"/>
          <w:szCs w:val="24"/>
        </w:rPr>
        <w:t>ofereceu</w:t>
      </w:r>
      <w:r>
        <w:rPr>
          <w:rFonts w:cs="Arial"/>
          <w:szCs w:val="24"/>
        </w:rPr>
        <w:t xml:space="preserve"> o menor preço para os </w:t>
      </w:r>
      <w:r w:rsidR="009E74CC">
        <w:rPr>
          <w:rFonts w:cs="Arial"/>
          <w:szCs w:val="24"/>
        </w:rPr>
        <w:t xml:space="preserve">dois </w:t>
      </w:r>
      <w:r>
        <w:rPr>
          <w:rFonts w:cs="Arial"/>
          <w:szCs w:val="24"/>
        </w:rPr>
        <w:t>lotes isoladamente, mas</w:t>
      </w:r>
      <w:r w:rsidR="009E74C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utilizando-se do mecanismo de descontos, obteve a melhor combinação de preços. Assim, com a aplicação do desconto, ele sagrou-se vencedor, gerando um desconto adicional de </w:t>
      </w:r>
      <w:r w:rsidR="002A74D7">
        <w:rPr>
          <w:rFonts w:cs="Arial"/>
          <w:szCs w:val="24"/>
        </w:rPr>
        <w:t>R$ 99,0 mil</w:t>
      </w:r>
      <w:r>
        <w:rPr>
          <w:rFonts w:cs="Arial"/>
          <w:szCs w:val="24"/>
        </w:rPr>
        <w:t xml:space="preserve"> para a DERSA.</w:t>
      </w:r>
    </w:p>
    <w:p w:rsidR="009E74CC" w:rsidRDefault="009E74CC" w:rsidP="009932D7">
      <w:pPr>
        <w:spacing w:after="120" w:line="288" w:lineRule="auto"/>
        <w:jc w:val="both"/>
        <w:rPr>
          <w:rFonts w:cs="Arial"/>
          <w:szCs w:val="24"/>
        </w:rPr>
      </w:pPr>
    </w:p>
    <w:p w:rsidR="009E74CC" w:rsidRDefault="009E74CC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Importante salientar que</w:t>
      </w:r>
      <w:r w:rsidR="0017683F">
        <w:rPr>
          <w:rFonts w:cs="Arial"/>
          <w:szCs w:val="24"/>
        </w:rPr>
        <w:t>, em maio de 2012,</w:t>
      </w:r>
      <w:r>
        <w:rPr>
          <w:rFonts w:cs="Arial"/>
          <w:szCs w:val="24"/>
        </w:rPr>
        <w:t xml:space="preserve"> essa licitação foi alvo de uma representação no Tribunal de Contas do Estado (TCE)</w:t>
      </w:r>
      <w:r w:rsidR="0017683F">
        <w:rPr>
          <w:rFonts w:cs="Arial"/>
          <w:szCs w:val="24"/>
        </w:rPr>
        <w:t xml:space="preserve">. Após a análise do edital, </w:t>
      </w:r>
      <w:r w:rsidR="0017683F" w:rsidRPr="0017683F">
        <w:rPr>
          <w:rFonts w:cs="Arial"/>
          <w:b/>
          <w:szCs w:val="24"/>
        </w:rPr>
        <w:t>o TCE concluiu pela legalidade integral do edital</w:t>
      </w:r>
      <w:r w:rsidR="0017683F">
        <w:rPr>
          <w:rFonts w:cs="Arial"/>
          <w:szCs w:val="24"/>
        </w:rPr>
        <w:t>, mantendo inalterado seu conteúdo.</w:t>
      </w:r>
    </w:p>
    <w:p w:rsidR="00292C22" w:rsidRDefault="00292C22" w:rsidP="009932D7">
      <w:pPr>
        <w:spacing w:after="120" w:line="288" w:lineRule="auto"/>
        <w:jc w:val="both"/>
        <w:rPr>
          <w:rFonts w:cs="Arial"/>
          <w:szCs w:val="24"/>
        </w:rPr>
      </w:pPr>
    </w:p>
    <w:p w:rsidR="0017683F" w:rsidRDefault="00292C22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Uma vez testado e aprovado, </w:t>
      </w:r>
      <w:r w:rsidR="009932D7" w:rsidRPr="001263ED">
        <w:rPr>
          <w:rFonts w:cs="Arial"/>
          <w:szCs w:val="24"/>
        </w:rPr>
        <w:t xml:space="preserve">esse mecanismo </w:t>
      </w:r>
      <w:r>
        <w:rPr>
          <w:rFonts w:cs="Arial"/>
          <w:szCs w:val="24"/>
        </w:rPr>
        <w:t xml:space="preserve">foi utilizado </w:t>
      </w:r>
      <w:r w:rsidR="009932D7" w:rsidRPr="001263ED">
        <w:rPr>
          <w:rFonts w:cs="Arial"/>
          <w:szCs w:val="24"/>
        </w:rPr>
        <w:t xml:space="preserve">na </w:t>
      </w:r>
      <w:r w:rsidR="0017683F">
        <w:rPr>
          <w:rFonts w:cs="Arial"/>
          <w:szCs w:val="24"/>
        </w:rPr>
        <w:t xml:space="preserve">fase das propostas comerciais da </w:t>
      </w:r>
      <w:r w:rsidR="009932D7" w:rsidRPr="001263ED">
        <w:rPr>
          <w:rFonts w:cs="Arial"/>
          <w:szCs w:val="24"/>
        </w:rPr>
        <w:t>licitação d</w:t>
      </w:r>
      <w:r w:rsidR="0017683F">
        <w:rPr>
          <w:rFonts w:cs="Arial"/>
          <w:szCs w:val="24"/>
        </w:rPr>
        <w:t>as obras do t</w:t>
      </w:r>
      <w:r w:rsidR="009932D7" w:rsidRPr="001263ED">
        <w:rPr>
          <w:rFonts w:cs="Arial"/>
          <w:szCs w:val="24"/>
        </w:rPr>
        <w:t>recho Norte do Rodoanel</w:t>
      </w:r>
      <w:r w:rsidR="0017683F">
        <w:rPr>
          <w:rFonts w:cs="Arial"/>
          <w:szCs w:val="24"/>
        </w:rPr>
        <w:t xml:space="preserve"> (LPI DERSA n</w:t>
      </w:r>
      <w:r w:rsidR="0017683F" w:rsidRPr="0017683F">
        <w:rPr>
          <w:rFonts w:cs="Arial"/>
          <w:szCs w:val="24"/>
          <w:vertAlign w:val="superscript"/>
        </w:rPr>
        <w:t>o</w:t>
      </w:r>
      <w:r w:rsidR="0017683F">
        <w:rPr>
          <w:rFonts w:cs="Arial"/>
          <w:szCs w:val="24"/>
        </w:rPr>
        <w:t xml:space="preserve"> 006/2011)</w:t>
      </w:r>
      <w:r w:rsidR="009932D7" w:rsidRPr="001263E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uma concorrência pública internacional. </w:t>
      </w:r>
      <w:r w:rsidR="0017683F">
        <w:rPr>
          <w:rFonts w:cs="Arial"/>
          <w:szCs w:val="24"/>
        </w:rPr>
        <w:t xml:space="preserve">Ao todo, a LPI 006/2011 foi examinada por tribunais e cortes de contas em </w:t>
      </w:r>
      <w:proofErr w:type="gramStart"/>
      <w:r w:rsidR="0017683F">
        <w:rPr>
          <w:rFonts w:cs="Arial"/>
          <w:szCs w:val="24"/>
        </w:rPr>
        <w:t>3</w:t>
      </w:r>
      <w:proofErr w:type="gramEnd"/>
      <w:r w:rsidR="0017683F">
        <w:rPr>
          <w:rFonts w:cs="Arial"/>
          <w:szCs w:val="24"/>
        </w:rPr>
        <w:t xml:space="preserve"> representações no Tribunal de </w:t>
      </w:r>
      <w:r w:rsidR="0017683F">
        <w:rPr>
          <w:rFonts w:cs="Arial"/>
          <w:szCs w:val="24"/>
        </w:rPr>
        <w:lastRenderedPageBreak/>
        <w:t xml:space="preserve">Contas da União (TCU), 3 representações no TCE, 8 mandados de segurança e uma ação cautelar. O edital restou intacto após </w:t>
      </w:r>
      <w:proofErr w:type="gramStart"/>
      <w:r w:rsidR="0017683F">
        <w:rPr>
          <w:rFonts w:cs="Arial"/>
          <w:szCs w:val="24"/>
        </w:rPr>
        <w:t>todos este</w:t>
      </w:r>
      <w:proofErr w:type="gramEnd"/>
      <w:r w:rsidR="0017683F">
        <w:rPr>
          <w:rFonts w:cs="Arial"/>
          <w:szCs w:val="24"/>
        </w:rPr>
        <w:t xml:space="preserve"> escrutínio, comprovando a legalidade de seu conteúdo.</w:t>
      </w:r>
    </w:p>
    <w:p w:rsidR="0017683F" w:rsidRDefault="0017683F" w:rsidP="009932D7">
      <w:pPr>
        <w:spacing w:after="120" w:line="288" w:lineRule="auto"/>
        <w:jc w:val="both"/>
        <w:rPr>
          <w:rFonts w:cs="Arial"/>
          <w:szCs w:val="24"/>
        </w:rPr>
      </w:pPr>
    </w:p>
    <w:p w:rsidR="009932D7" w:rsidRDefault="0017683F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292C22">
        <w:rPr>
          <w:rFonts w:cs="Arial"/>
          <w:szCs w:val="24"/>
        </w:rPr>
        <w:t xml:space="preserve"> sucesso </w:t>
      </w:r>
      <w:r>
        <w:rPr>
          <w:rFonts w:cs="Arial"/>
          <w:szCs w:val="24"/>
        </w:rPr>
        <w:t xml:space="preserve">do mecanismo de descontos </w:t>
      </w:r>
      <w:r w:rsidR="00292C22">
        <w:rPr>
          <w:rFonts w:cs="Arial"/>
          <w:szCs w:val="24"/>
        </w:rPr>
        <w:t>possibilitou à</w:t>
      </w:r>
      <w:r w:rsidR="009932D7" w:rsidRPr="001263ED">
        <w:rPr>
          <w:rFonts w:cs="Arial"/>
          <w:szCs w:val="24"/>
        </w:rPr>
        <w:t xml:space="preserve"> DERSA entende</w:t>
      </w:r>
      <w:r w:rsidR="00292C22">
        <w:rPr>
          <w:rFonts w:cs="Arial"/>
          <w:szCs w:val="24"/>
        </w:rPr>
        <w:t>r</w:t>
      </w:r>
      <w:r w:rsidR="009932D7" w:rsidRPr="001263ED">
        <w:rPr>
          <w:rFonts w:cs="Arial"/>
          <w:szCs w:val="24"/>
        </w:rPr>
        <w:t xml:space="preserve"> que a mesma estratégia poderia ser replicada em seus demais empreendimentos novos</w:t>
      </w:r>
      <w:r w:rsidR="00292C22">
        <w:rPr>
          <w:rFonts w:cs="Arial"/>
          <w:szCs w:val="24"/>
        </w:rPr>
        <w:t>, cujo</w:t>
      </w:r>
      <w:r w:rsidR="009932D7" w:rsidRPr="001263ED">
        <w:rPr>
          <w:rFonts w:cs="Arial"/>
          <w:szCs w:val="24"/>
        </w:rPr>
        <w:t xml:space="preserve"> objeto da licitação p</w:t>
      </w:r>
      <w:r w:rsidR="00292C22">
        <w:rPr>
          <w:rFonts w:cs="Arial"/>
          <w:szCs w:val="24"/>
        </w:rPr>
        <w:t>o</w:t>
      </w:r>
      <w:r w:rsidR="009932D7" w:rsidRPr="001263ED">
        <w:rPr>
          <w:rFonts w:cs="Arial"/>
          <w:szCs w:val="24"/>
        </w:rPr>
        <w:t>ss</w:t>
      </w:r>
      <w:r w:rsidR="00292C22">
        <w:rPr>
          <w:rFonts w:cs="Arial"/>
          <w:szCs w:val="24"/>
        </w:rPr>
        <w:t>a ser subdividido em lotes.</w:t>
      </w:r>
    </w:p>
    <w:p w:rsidR="00292C22" w:rsidRPr="001263ED" w:rsidRDefault="00292C22" w:rsidP="009932D7">
      <w:pPr>
        <w:spacing w:after="120" w:line="288" w:lineRule="auto"/>
        <w:jc w:val="both"/>
        <w:rPr>
          <w:rFonts w:cs="Arial"/>
          <w:szCs w:val="24"/>
        </w:rPr>
      </w:pPr>
    </w:p>
    <w:p w:rsidR="009932D7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szCs w:val="24"/>
        </w:rPr>
        <w:t xml:space="preserve">Assim, a DERSA já replicou a estratégia de licitação </w:t>
      </w:r>
      <w:r w:rsidR="004F24B5">
        <w:rPr>
          <w:rFonts w:cs="Arial"/>
          <w:szCs w:val="24"/>
        </w:rPr>
        <w:t>(Concorrência DERSA n</w:t>
      </w:r>
      <w:r w:rsidR="004F24B5" w:rsidRPr="004F24B5">
        <w:rPr>
          <w:rFonts w:cs="Arial"/>
          <w:szCs w:val="24"/>
          <w:vertAlign w:val="superscript"/>
        </w:rPr>
        <w:t>o</w:t>
      </w:r>
      <w:r w:rsidR="004F24B5">
        <w:rPr>
          <w:rFonts w:cs="Arial"/>
          <w:szCs w:val="24"/>
        </w:rPr>
        <w:t xml:space="preserve"> 012/2012) </w:t>
      </w:r>
      <w:r w:rsidRPr="001263ED">
        <w:rPr>
          <w:rFonts w:cs="Arial"/>
          <w:szCs w:val="24"/>
        </w:rPr>
        <w:t>em um novo empreendimento, fruto de um Convênio pactuado com o Estado de Sã</w:t>
      </w:r>
      <w:r w:rsidR="0017683F">
        <w:rPr>
          <w:rFonts w:cs="Arial"/>
          <w:szCs w:val="24"/>
        </w:rPr>
        <w:t>o Paulo, por intermédio do DER</w:t>
      </w:r>
      <w:r w:rsidRPr="001263ED">
        <w:rPr>
          <w:rFonts w:cs="Arial"/>
          <w:szCs w:val="24"/>
        </w:rPr>
        <w:t xml:space="preserve">, para a </w:t>
      </w:r>
      <w:r w:rsidR="00334FB4">
        <w:rPr>
          <w:rFonts w:cs="Arial"/>
          <w:szCs w:val="24"/>
        </w:rPr>
        <w:t xml:space="preserve">implantação da Nova Tamoios Contornos, um </w:t>
      </w:r>
      <w:r w:rsidR="0017683F">
        <w:rPr>
          <w:rFonts w:cs="Arial"/>
          <w:szCs w:val="24"/>
        </w:rPr>
        <w:t>contorno rodoviário</w:t>
      </w:r>
      <w:r w:rsidRPr="001263ED">
        <w:rPr>
          <w:rFonts w:cs="Arial"/>
          <w:szCs w:val="24"/>
        </w:rPr>
        <w:t xml:space="preserve"> para a melhoria </w:t>
      </w:r>
      <w:r w:rsidR="0017683F">
        <w:rPr>
          <w:rFonts w:cs="Arial"/>
          <w:szCs w:val="24"/>
        </w:rPr>
        <w:t>d</w:t>
      </w:r>
      <w:r w:rsidRPr="001263ED">
        <w:rPr>
          <w:rFonts w:cs="Arial"/>
          <w:szCs w:val="24"/>
        </w:rPr>
        <w:t>a infraestrutura viária no litoral Norte de São Paulo</w:t>
      </w:r>
      <w:r w:rsidR="00334FB4">
        <w:rPr>
          <w:rFonts w:cs="Arial"/>
          <w:szCs w:val="24"/>
        </w:rPr>
        <w:t xml:space="preserve"> </w:t>
      </w:r>
      <w:r w:rsidR="0017683F">
        <w:rPr>
          <w:rFonts w:cs="Arial"/>
          <w:szCs w:val="24"/>
        </w:rPr>
        <w:t>(em</w:t>
      </w:r>
      <w:r w:rsidRPr="001263ED">
        <w:rPr>
          <w:rFonts w:cs="Arial"/>
          <w:szCs w:val="24"/>
        </w:rPr>
        <w:t xml:space="preserve"> Caraguatatuba e de São Sebastião).</w:t>
      </w:r>
      <w:r w:rsidR="004F24B5">
        <w:rPr>
          <w:rFonts w:cs="Arial"/>
          <w:szCs w:val="24"/>
        </w:rPr>
        <w:t xml:space="preserve"> </w:t>
      </w:r>
    </w:p>
    <w:p w:rsidR="004F24B5" w:rsidRDefault="004F24B5" w:rsidP="009932D7">
      <w:pPr>
        <w:spacing w:after="120" w:line="288" w:lineRule="auto"/>
        <w:jc w:val="both"/>
        <w:rPr>
          <w:rFonts w:cs="Arial"/>
          <w:szCs w:val="24"/>
        </w:rPr>
      </w:pPr>
    </w:p>
    <w:p w:rsidR="009C29E0" w:rsidRDefault="004F24B5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Também nessa concorrência, houve representação contra o edital no TCE (processo </w:t>
      </w:r>
      <w:r w:rsidRPr="004F24B5">
        <w:rPr>
          <w:rFonts w:cs="Arial"/>
          <w:szCs w:val="24"/>
        </w:rPr>
        <w:t>TC 196.989.13-1</w:t>
      </w:r>
      <w:r>
        <w:rPr>
          <w:rFonts w:cs="Arial"/>
          <w:szCs w:val="24"/>
        </w:rPr>
        <w:t>). Mais uma vez, o Tribunal concluiu pela legalidade das regras adotadas pela DERSA, mantendo o edital inalterado.</w:t>
      </w:r>
      <w:r w:rsidR="007C04D8">
        <w:rPr>
          <w:rFonts w:cs="Arial"/>
          <w:szCs w:val="24"/>
        </w:rPr>
        <w:t xml:space="preserve"> O resultado foi</w:t>
      </w:r>
      <w:r w:rsidR="009C29E0">
        <w:rPr>
          <w:rFonts w:cs="Arial"/>
          <w:szCs w:val="24"/>
        </w:rPr>
        <w:t xml:space="preserve"> um desconto adicional de </w:t>
      </w:r>
      <w:r w:rsidR="00E643B8">
        <w:rPr>
          <w:rFonts w:cs="Arial"/>
          <w:szCs w:val="24"/>
        </w:rPr>
        <w:t xml:space="preserve">R$ 71,8 milhões </w:t>
      </w:r>
      <w:r w:rsidR="009C29E0">
        <w:rPr>
          <w:rFonts w:cs="Arial"/>
          <w:szCs w:val="24"/>
        </w:rPr>
        <w:t>com a utilização desse mecanismo.</w:t>
      </w:r>
    </w:p>
    <w:p w:rsidR="009C29E0" w:rsidRDefault="009C29E0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9932D7" w:rsidRDefault="009932D7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 w:rsidRPr="001263ED">
        <w:rPr>
          <w:rFonts w:cs="Arial"/>
          <w:spacing w:val="-5"/>
          <w:szCs w:val="24"/>
        </w:rPr>
        <w:t xml:space="preserve">Portanto, verifica-se que é possível replicar a iniciativa da DERSA em </w:t>
      </w:r>
      <w:r w:rsidR="004F24B5">
        <w:rPr>
          <w:rFonts w:cs="Arial"/>
          <w:spacing w:val="-5"/>
          <w:szCs w:val="24"/>
        </w:rPr>
        <w:t xml:space="preserve">quaisquer </w:t>
      </w:r>
      <w:r w:rsidRPr="001263ED">
        <w:rPr>
          <w:rFonts w:cs="Arial"/>
          <w:spacing w:val="-5"/>
          <w:szCs w:val="24"/>
        </w:rPr>
        <w:t xml:space="preserve">licitações </w:t>
      </w:r>
      <w:r w:rsidR="004F24B5">
        <w:rPr>
          <w:rFonts w:cs="Arial"/>
          <w:spacing w:val="-5"/>
          <w:szCs w:val="24"/>
        </w:rPr>
        <w:t xml:space="preserve">que envolvam a contratação </w:t>
      </w:r>
      <w:r w:rsidRPr="001263ED">
        <w:rPr>
          <w:rFonts w:cs="Arial"/>
          <w:spacing w:val="-5"/>
          <w:szCs w:val="24"/>
        </w:rPr>
        <w:t xml:space="preserve">de obras ou serviços de grande porte que permitam a subdivisão do objeto em lotes, de modo a possibilitar a combinação para a execução de </w:t>
      </w:r>
      <w:proofErr w:type="gramStart"/>
      <w:r w:rsidRPr="001263ED">
        <w:rPr>
          <w:rFonts w:cs="Arial"/>
          <w:spacing w:val="-5"/>
          <w:szCs w:val="24"/>
        </w:rPr>
        <w:t>2</w:t>
      </w:r>
      <w:proofErr w:type="gramEnd"/>
      <w:r w:rsidR="004F24B5">
        <w:rPr>
          <w:rFonts w:cs="Arial"/>
          <w:spacing w:val="-5"/>
          <w:szCs w:val="24"/>
        </w:rPr>
        <w:t xml:space="preserve"> ou mais</w:t>
      </w:r>
      <w:r w:rsidRPr="001263ED">
        <w:rPr>
          <w:rFonts w:cs="Arial"/>
          <w:spacing w:val="-5"/>
          <w:szCs w:val="24"/>
        </w:rPr>
        <w:t xml:space="preserve"> lotes por um mesmo vencedor e o compartilhamento dos recursos do licitante nos lotes ganhos, com o objetivo de gerar ganhos de eficiência e </w:t>
      </w:r>
      <w:r w:rsidR="004F24B5">
        <w:rPr>
          <w:rFonts w:cs="Arial"/>
          <w:spacing w:val="-5"/>
          <w:szCs w:val="24"/>
        </w:rPr>
        <w:t xml:space="preserve">economia </w:t>
      </w:r>
      <w:r w:rsidRPr="001263ED">
        <w:rPr>
          <w:rFonts w:cs="Arial"/>
          <w:spacing w:val="-5"/>
          <w:szCs w:val="24"/>
        </w:rPr>
        <w:t>de recursos para a administração pública em todas as regiões do Brasil.</w:t>
      </w:r>
    </w:p>
    <w:p w:rsidR="00245720" w:rsidRDefault="00245720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AA27E4" w:rsidRPr="001263ED" w:rsidRDefault="00AA27E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Relevância</w:t>
      </w:r>
      <w:r w:rsidRPr="001263ED">
        <w:rPr>
          <w:rFonts w:cs="Arial"/>
          <w:szCs w:val="24"/>
        </w:rPr>
        <w:t xml:space="preserve"> </w:t>
      </w:r>
    </w:p>
    <w:p w:rsidR="00CE0294" w:rsidRDefault="00CE029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CE0294" w:rsidRDefault="00CE029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 xml:space="preserve">Volumes expressivos de recursos são anualmente despendidos pelas diferentes esferas de governo brasileiro através da contratação de obras e serviços. Como as compras governamentais são regidas pelas regras licitatórias, aprimoramentos nesse mecanismo que resultem em mais economia comprovada ao erário são, por si só, </w:t>
      </w:r>
      <w:r w:rsidR="00900160">
        <w:rPr>
          <w:rFonts w:cs="Arial"/>
          <w:spacing w:val="-5"/>
          <w:szCs w:val="24"/>
        </w:rPr>
        <w:t>tema</w:t>
      </w:r>
      <w:r>
        <w:rPr>
          <w:rFonts w:cs="Arial"/>
          <w:spacing w:val="-5"/>
          <w:szCs w:val="24"/>
        </w:rPr>
        <w:t xml:space="preserve"> relevante.</w:t>
      </w:r>
    </w:p>
    <w:p w:rsidR="00CE0294" w:rsidRDefault="00CE029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900160" w:rsidRDefault="00900160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 xml:space="preserve">No caso específico dos descontos para a combinação de lotes em concorrências, trata-se de uma inovação facilmente aplicada a processos licitatórios vultosos, como as </w:t>
      </w:r>
      <w:r>
        <w:rPr>
          <w:rFonts w:cs="Arial"/>
          <w:spacing w:val="-5"/>
          <w:szCs w:val="24"/>
        </w:rPr>
        <w:lastRenderedPageBreak/>
        <w:t xml:space="preserve">licitações das obras necessárias à implantação de grandes empreendimentos de infraestrutura, por exemplo. </w:t>
      </w:r>
    </w:p>
    <w:p w:rsidR="00900160" w:rsidRDefault="00900160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900160" w:rsidRDefault="00900160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>Não raro, esses empreendimentos possu</w:t>
      </w:r>
      <w:r w:rsidR="00503469">
        <w:rPr>
          <w:rFonts w:cs="Arial"/>
          <w:spacing w:val="-5"/>
          <w:szCs w:val="24"/>
        </w:rPr>
        <w:t>ír</w:t>
      </w:r>
      <w:r>
        <w:rPr>
          <w:rFonts w:cs="Arial"/>
          <w:spacing w:val="-5"/>
          <w:szCs w:val="24"/>
        </w:rPr>
        <w:t>em orçamentos bilionários</w:t>
      </w:r>
      <w:r w:rsidR="00503469">
        <w:rPr>
          <w:rFonts w:cs="Arial"/>
          <w:spacing w:val="-5"/>
          <w:szCs w:val="24"/>
        </w:rPr>
        <w:t>, uma vez que eles buscam resolver problemas estruturais complexos que atravancam o desenvolvimento e/ou impedem a plena utilização do potencial de regiões inteiras.</w:t>
      </w:r>
    </w:p>
    <w:p w:rsidR="00900160" w:rsidRDefault="00900160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CE0294" w:rsidRDefault="00503469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>Assim, seja pelas necessidades que satisfazem, seja pel</w:t>
      </w:r>
      <w:r w:rsidR="00900160">
        <w:rPr>
          <w:rFonts w:cs="Arial"/>
          <w:spacing w:val="-5"/>
          <w:szCs w:val="24"/>
        </w:rPr>
        <w:t xml:space="preserve">os montantes </w:t>
      </w:r>
      <w:r>
        <w:rPr>
          <w:rFonts w:cs="Arial"/>
          <w:spacing w:val="-5"/>
          <w:szCs w:val="24"/>
        </w:rPr>
        <w:t xml:space="preserve">de recursos públicos envolvidos, esses empreendimentos revestem-se de significativa relevância, não apenas para região onde são instalados, mas, muitas vezes, para o próprio país. </w:t>
      </w:r>
    </w:p>
    <w:p w:rsidR="00CE0294" w:rsidRDefault="00CE029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503469" w:rsidRDefault="00503469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 xml:space="preserve">No caso do Rodoanel Norte, por exemplo, </w:t>
      </w:r>
      <w:r w:rsidR="0020646C">
        <w:rPr>
          <w:rFonts w:cs="Arial"/>
          <w:spacing w:val="-5"/>
          <w:szCs w:val="24"/>
        </w:rPr>
        <w:t>parte d</w:t>
      </w:r>
      <w:r w:rsidR="00F324FF">
        <w:rPr>
          <w:rFonts w:cs="Arial"/>
          <w:spacing w:val="-5"/>
          <w:szCs w:val="24"/>
        </w:rPr>
        <w:t>ess</w:t>
      </w:r>
      <w:r>
        <w:rPr>
          <w:rFonts w:cs="Arial"/>
          <w:spacing w:val="-5"/>
          <w:szCs w:val="24"/>
        </w:rPr>
        <w:t>a relevância pode ser</w:t>
      </w:r>
      <w:r w:rsidR="00F324FF">
        <w:rPr>
          <w:rFonts w:cs="Arial"/>
          <w:spacing w:val="-5"/>
          <w:szCs w:val="24"/>
        </w:rPr>
        <w:t xml:space="preserve"> ilustrada por algumas características do empreendimento:</w:t>
      </w:r>
    </w:p>
    <w:p w:rsidR="0020646C" w:rsidRDefault="0020646C" w:rsidP="00F324FF">
      <w:pPr>
        <w:numPr>
          <w:ilvl w:val="0"/>
          <w:numId w:val="15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Quando inaugurado, o Rodoanel Norte receberá um trânsito diário de cerca de 65.000 veículos, sendo que cerca de 50% destes serão caminhões. A via irá diminuir a demanda de tráfego que atualmente carrega a Marginal Tietê e o início da Via Dutra, em Guarulhos.</w:t>
      </w:r>
    </w:p>
    <w:p w:rsidR="0020646C" w:rsidRPr="0020646C" w:rsidRDefault="0020646C" w:rsidP="00F324FF">
      <w:pPr>
        <w:numPr>
          <w:ilvl w:val="0"/>
          <w:numId w:val="15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Ao organizar o trânsito de passagem pela Região Metropolitana de São Paulo, o Rodoanel permitirá uma diminuição nas emissões de gases de efeito estufa, da ordem de 8% a 10% sobre o total atual.</w:t>
      </w:r>
    </w:p>
    <w:p w:rsidR="009932D7" w:rsidRDefault="009932D7" w:rsidP="00F324FF">
      <w:pPr>
        <w:numPr>
          <w:ilvl w:val="0"/>
          <w:numId w:val="15"/>
        </w:num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spacing w:val="-5"/>
          <w:szCs w:val="24"/>
        </w:rPr>
        <w:t xml:space="preserve">A concorrência para a contratação de implantação das obras do Rodoanel Norte </w:t>
      </w:r>
      <w:r w:rsidR="00F324FF">
        <w:rPr>
          <w:rFonts w:cs="Arial"/>
          <w:spacing w:val="-5"/>
          <w:szCs w:val="24"/>
        </w:rPr>
        <w:t>foi</w:t>
      </w:r>
      <w:r w:rsidRPr="001263ED">
        <w:rPr>
          <w:rFonts w:cs="Arial"/>
          <w:spacing w:val="-5"/>
          <w:szCs w:val="24"/>
        </w:rPr>
        <w:t xml:space="preserve"> a</w:t>
      </w:r>
      <w:r w:rsidRPr="001263ED">
        <w:rPr>
          <w:rFonts w:cs="Arial"/>
          <w:szCs w:val="24"/>
        </w:rPr>
        <w:t xml:space="preserve"> maior licitação de obra rodoviária em andamento no país</w:t>
      </w:r>
      <w:r w:rsidR="00F324FF">
        <w:rPr>
          <w:rFonts w:cs="Arial"/>
          <w:szCs w:val="24"/>
        </w:rPr>
        <w:t xml:space="preserve"> entre 2011 e 2012,</w:t>
      </w:r>
      <w:r w:rsidRPr="001263ED">
        <w:rPr>
          <w:rFonts w:cs="Arial"/>
          <w:szCs w:val="24"/>
        </w:rPr>
        <w:t xml:space="preserve"> e está em conformidade </w:t>
      </w:r>
      <w:r w:rsidR="004F24B5">
        <w:rPr>
          <w:rFonts w:cs="Arial"/>
          <w:szCs w:val="24"/>
        </w:rPr>
        <w:t>com a Lei N</w:t>
      </w:r>
      <w:r w:rsidR="004F24B5" w:rsidRPr="004F24B5">
        <w:rPr>
          <w:rFonts w:cs="Arial"/>
          <w:szCs w:val="24"/>
          <w:vertAlign w:val="superscript"/>
        </w:rPr>
        <w:t>o</w:t>
      </w:r>
      <w:r w:rsidR="004F24B5">
        <w:rPr>
          <w:rFonts w:cs="Arial"/>
          <w:szCs w:val="24"/>
        </w:rPr>
        <w:t xml:space="preserve"> 8.666/1993 e </w:t>
      </w:r>
      <w:r w:rsidRPr="001263ED">
        <w:rPr>
          <w:rFonts w:cs="Arial"/>
          <w:szCs w:val="24"/>
        </w:rPr>
        <w:t xml:space="preserve">com as normas e regulamentos do Banco Interamericano de Desenvolvimento (BID), principal órgão de financiamento multilateral da América Latina, que financia parte expressiva da obra. </w:t>
      </w:r>
    </w:p>
    <w:p w:rsidR="009932D7" w:rsidRPr="001263ED" w:rsidRDefault="00F324FF" w:rsidP="00F324FF">
      <w:pPr>
        <w:numPr>
          <w:ilvl w:val="0"/>
          <w:numId w:val="15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9932D7" w:rsidRPr="001263ED">
        <w:rPr>
          <w:rFonts w:cs="Arial"/>
          <w:szCs w:val="24"/>
        </w:rPr>
        <w:t xml:space="preserve"> financiamento realizado pelo BID para a implantação do Trecho Norte foi o maior já firmado pelo Governo do Estado de São Paulo.</w:t>
      </w:r>
    </w:p>
    <w:p w:rsidR="009932D7" w:rsidRPr="001263ED" w:rsidRDefault="009932D7" w:rsidP="00F324FF">
      <w:pPr>
        <w:numPr>
          <w:ilvl w:val="0"/>
          <w:numId w:val="15"/>
        </w:num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szCs w:val="24"/>
        </w:rPr>
        <w:t xml:space="preserve">A licitação, de âmbito internacional, atraiu, além de construtoras brasileiras, muitas empresas estrangeiras. Empresas da Itália, França, Argentina, México, Portugal, Espanha e Coréia, também se inscreveram no certame. Quatro empresas brasileiras, três espanholas e uma portuguesa se inscreveram isoladamente. Os consórcios, com até três empresas cada um, apresentam esta ordem; quatro brasileiros, sete ítalo-brasileiros, três hispano-brasileiros, um franco-brasileiro, um </w:t>
      </w:r>
      <w:proofErr w:type="spellStart"/>
      <w:r w:rsidRPr="001263ED">
        <w:rPr>
          <w:rFonts w:cs="Arial"/>
          <w:szCs w:val="24"/>
        </w:rPr>
        <w:t>coreano-brasileiro</w:t>
      </w:r>
      <w:proofErr w:type="spellEnd"/>
      <w:r w:rsidRPr="001263ED">
        <w:rPr>
          <w:rFonts w:cs="Arial"/>
          <w:szCs w:val="24"/>
        </w:rPr>
        <w:t>, e um argentino-brasileiro.</w:t>
      </w:r>
    </w:p>
    <w:p w:rsidR="009932D7" w:rsidRPr="001263ED" w:rsidRDefault="009932D7" w:rsidP="00F324FF">
      <w:pPr>
        <w:numPr>
          <w:ilvl w:val="0"/>
          <w:numId w:val="15"/>
        </w:num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szCs w:val="24"/>
        </w:rPr>
        <w:t xml:space="preserve">O empreendimento denota em seu processo licitatório, sucesso em sua projeção internacional, revelando o aspecto inovador do certame ao atrair </w:t>
      </w:r>
      <w:r w:rsidRPr="001263ED">
        <w:rPr>
          <w:rFonts w:cs="Arial"/>
          <w:szCs w:val="24"/>
        </w:rPr>
        <w:lastRenderedPageBreak/>
        <w:t>variadas empresas estrangeiras, elevando o empreendimento brasileiro a uma posição de destaque frente às entidades internacionais. Tal registro, por sua vez, também demonstra a confiabilidade da DERSA, enquanto executora do Projeto, possibilitando, inclusive que o exemplo da DERSA torne outros empreendimentos de infraestrutura no Brasil atrativos a investimentos internacionais.</w:t>
      </w:r>
    </w:p>
    <w:p w:rsidR="009932D7" w:rsidRDefault="009932D7" w:rsidP="009932D7">
      <w:pPr>
        <w:spacing w:after="120" w:line="288" w:lineRule="auto"/>
        <w:jc w:val="both"/>
        <w:rPr>
          <w:rFonts w:cs="Arial"/>
          <w:szCs w:val="24"/>
        </w:rPr>
      </w:pPr>
    </w:p>
    <w:p w:rsidR="00F324FF" w:rsidRDefault="00F324FF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Por fim, vale ressaltar que, neste tipo de empreendimento, as obras de engenharia (“obras brutas”) consomem um percentual relevante do orçamento total, entre 50% e 80%. Assim, uma solução </w:t>
      </w:r>
      <w:r w:rsidR="000B1E96">
        <w:rPr>
          <w:rFonts w:cs="Arial"/>
          <w:szCs w:val="24"/>
        </w:rPr>
        <w:t xml:space="preserve">como dos descontos para a combinação de lotes, </w:t>
      </w:r>
      <w:r>
        <w:rPr>
          <w:rFonts w:cs="Arial"/>
          <w:szCs w:val="24"/>
        </w:rPr>
        <w:t>que possibilit</w:t>
      </w:r>
      <w:r w:rsidR="000B1E96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maior economia no principal item de custo do empreendimento, também </w:t>
      </w:r>
      <w:r w:rsidR="0020646C">
        <w:rPr>
          <w:rFonts w:cs="Arial"/>
          <w:szCs w:val="24"/>
        </w:rPr>
        <w:t>se reveste</w:t>
      </w:r>
      <w:r>
        <w:rPr>
          <w:rFonts w:cs="Arial"/>
          <w:szCs w:val="24"/>
        </w:rPr>
        <w:t xml:space="preserve"> de especial </w:t>
      </w:r>
      <w:r w:rsidR="000B1E96">
        <w:rPr>
          <w:rFonts w:cs="Arial"/>
          <w:szCs w:val="24"/>
        </w:rPr>
        <w:t>importância</w:t>
      </w:r>
      <w:r>
        <w:rPr>
          <w:rFonts w:cs="Arial"/>
          <w:szCs w:val="24"/>
        </w:rPr>
        <w:t>.</w:t>
      </w:r>
    </w:p>
    <w:p w:rsidR="00245720" w:rsidRDefault="00245720" w:rsidP="009932D7">
      <w:pPr>
        <w:spacing w:after="120" w:line="288" w:lineRule="auto"/>
        <w:jc w:val="both"/>
        <w:rPr>
          <w:rFonts w:cs="Arial"/>
          <w:szCs w:val="24"/>
        </w:rPr>
      </w:pPr>
    </w:p>
    <w:p w:rsidR="007C04D8" w:rsidRDefault="007C04D8" w:rsidP="009932D7">
      <w:pPr>
        <w:spacing w:after="120" w:line="288" w:lineRule="auto"/>
        <w:jc w:val="both"/>
        <w:rPr>
          <w:rFonts w:cs="Arial"/>
          <w:szCs w:val="24"/>
        </w:rPr>
      </w:pPr>
    </w:p>
    <w:p w:rsidR="007C04D8" w:rsidRPr="007C04D8" w:rsidRDefault="001E498A" w:rsidP="009932D7">
      <w:pPr>
        <w:spacing w:after="120" w:line="288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Combate ao De</w:t>
      </w:r>
      <w:r w:rsidR="007C04D8" w:rsidRPr="007C04D8">
        <w:rPr>
          <w:rFonts w:cs="Arial"/>
          <w:b/>
          <w:szCs w:val="24"/>
        </w:rPr>
        <w:t>sperdício</w:t>
      </w:r>
    </w:p>
    <w:p w:rsidR="007C04D8" w:rsidRDefault="007C04D8" w:rsidP="009932D7">
      <w:pPr>
        <w:spacing w:after="120" w:line="288" w:lineRule="auto"/>
        <w:jc w:val="both"/>
        <w:rPr>
          <w:rFonts w:cs="Arial"/>
          <w:szCs w:val="24"/>
        </w:rPr>
      </w:pPr>
    </w:p>
    <w:p w:rsidR="001E498A" w:rsidRDefault="007C04D8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Ao </w:t>
      </w:r>
      <w:r w:rsidR="001E498A">
        <w:rPr>
          <w:rFonts w:cs="Arial"/>
          <w:szCs w:val="24"/>
        </w:rPr>
        <w:t xml:space="preserve">impor um sistema mais racional de aquisições, propiciando </w:t>
      </w:r>
      <w:r>
        <w:rPr>
          <w:rFonts w:cs="Arial"/>
          <w:szCs w:val="24"/>
        </w:rPr>
        <w:t xml:space="preserve">que o Estado se aproprie de eventuais ganhos de escala que antes </w:t>
      </w:r>
      <w:r w:rsidR="001E498A">
        <w:rPr>
          <w:rFonts w:cs="Arial"/>
          <w:szCs w:val="24"/>
        </w:rPr>
        <w:t xml:space="preserve">beneficiavam integralmente o contratado, a iniciativa permitiu estimar qual valor desse ganho de escala que antes não era nem sequer mensurado. </w:t>
      </w:r>
    </w:p>
    <w:p w:rsidR="001E498A" w:rsidRDefault="001E498A" w:rsidP="009932D7">
      <w:pPr>
        <w:spacing w:after="120" w:line="288" w:lineRule="auto"/>
        <w:jc w:val="both"/>
        <w:rPr>
          <w:rFonts w:cs="Arial"/>
          <w:szCs w:val="24"/>
        </w:rPr>
      </w:pPr>
    </w:p>
    <w:p w:rsidR="001E498A" w:rsidRDefault="001E498A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Nos casos analisados por este trabalho, o Estado estaria despendendo, sem necessidade, os R$ 186,4 milhões anotados em descontos </w:t>
      </w:r>
      <w:r w:rsidR="009D1B55">
        <w:rPr>
          <w:rFonts w:cs="Arial"/>
          <w:szCs w:val="24"/>
        </w:rPr>
        <w:t xml:space="preserve">lineares. Isso representa, em termos percentuais, </w:t>
      </w:r>
      <w:proofErr w:type="gramStart"/>
      <w:r w:rsidR="009D1B55">
        <w:rPr>
          <w:rFonts w:cs="Arial"/>
          <w:szCs w:val="24"/>
        </w:rPr>
        <w:t>cerca de 2,7</w:t>
      </w:r>
      <w:proofErr w:type="gramEnd"/>
      <w:r w:rsidR="009D1B55">
        <w:rPr>
          <w:rFonts w:cs="Arial"/>
          <w:szCs w:val="24"/>
        </w:rPr>
        <w:t>%, se considerados os valores de referência das obras ou 3,5% se considerado o valor do contrato.</w:t>
      </w:r>
    </w:p>
    <w:p w:rsidR="009D1B55" w:rsidRDefault="009D1B55" w:rsidP="009932D7">
      <w:pPr>
        <w:spacing w:after="120" w:line="288" w:lineRule="auto"/>
        <w:jc w:val="both"/>
        <w:rPr>
          <w:rFonts w:cs="Arial"/>
          <w:szCs w:val="24"/>
        </w:rPr>
      </w:pPr>
    </w:p>
    <w:p w:rsidR="009D1B55" w:rsidRDefault="009D1B55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 não muito significativos em valores percentuais, dada 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 xml:space="preserve"> magnitude dos contratos em que estão envolvidos, a medida leva a um benefício bastante relevante em termos de economia global.</w:t>
      </w:r>
    </w:p>
    <w:p w:rsidR="007C04D8" w:rsidRDefault="007C04D8" w:rsidP="009932D7">
      <w:pPr>
        <w:spacing w:after="120" w:line="288" w:lineRule="auto"/>
        <w:jc w:val="both"/>
        <w:rPr>
          <w:rFonts w:cs="Arial"/>
          <w:szCs w:val="24"/>
        </w:rPr>
      </w:pPr>
    </w:p>
    <w:p w:rsidR="007C04D8" w:rsidRPr="001263ED" w:rsidRDefault="007C04D8" w:rsidP="009932D7">
      <w:pPr>
        <w:spacing w:after="120" w:line="288" w:lineRule="auto"/>
        <w:jc w:val="both"/>
        <w:rPr>
          <w:rFonts w:cs="Arial"/>
          <w:szCs w:val="24"/>
        </w:rPr>
      </w:pPr>
    </w:p>
    <w:p w:rsidR="009932D7" w:rsidRPr="007C04D8" w:rsidRDefault="007C04D8" w:rsidP="009932D7">
      <w:pPr>
        <w:spacing w:after="120" w:line="288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Economicidade de Gastos</w:t>
      </w:r>
    </w:p>
    <w:p w:rsidR="0020646C" w:rsidRDefault="0020646C" w:rsidP="009932D7">
      <w:pPr>
        <w:spacing w:after="120" w:line="288" w:lineRule="auto"/>
        <w:jc w:val="both"/>
        <w:rPr>
          <w:rFonts w:cs="Arial"/>
          <w:szCs w:val="24"/>
        </w:rPr>
      </w:pPr>
    </w:p>
    <w:p w:rsidR="0020646C" w:rsidRDefault="007C04D8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solução </w:t>
      </w:r>
      <w:r w:rsidR="000B1E96">
        <w:rPr>
          <w:rFonts w:cs="Arial"/>
          <w:szCs w:val="24"/>
        </w:rPr>
        <w:t xml:space="preserve">não exigiu qualquer mudança </w:t>
      </w:r>
      <w:r>
        <w:rPr>
          <w:rFonts w:cs="Arial"/>
          <w:szCs w:val="24"/>
        </w:rPr>
        <w:t>na legislação licitatória</w:t>
      </w:r>
      <w:r w:rsidR="000B1E96">
        <w:rPr>
          <w:rFonts w:cs="Arial"/>
          <w:szCs w:val="24"/>
        </w:rPr>
        <w:t xml:space="preserve"> vigente</w:t>
      </w:r>
      <w:r w:rsidR="007D5167">
        <w:rPr>
          <w:rFonts w:cs="Arial"/>
          <w:szCs w:val="24"/>
        </w:rPr>
        <w:t>, nem decorreu de nenhuma mudança recentemente introduzida nessa legislação</w:t>
      </w:r>
      <w:r w:rsidR="000B1E96">
        <w:rPr>
          <w:rFonts w:cs="Arial"/>
          <w:szCs w:val="24"/>
        </w:rPr>
        <w:t xml:space="preserve">. </w:t>
      </w:r>
      <w:r w:rsidR="007D5167">
        <w:rPr>
          <w:rFonts w:cs="Arial"/>
          <w:szCs w:val="24"/>
        </w:rPr>
        <w:lastRenderedPageBreak/>
        <w:t>Ao contrário, seu embasamento encontra plena guarida no sistema jurídico tradicional.</w:t>
      </w:r>
    </w:p>
    <w:p w:rsidR="007D5167" w:rsidRDefault="007D5167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efetivação da solução demandou análise de uma equipe multidisciplinar de colaboradores DERSA para que se dessem conta das dúvidas técnicas, jurídicas e administrativas envolvidas na implantação da inovação</w:t>
      </w:r>
      <w:r w:rsidR="007C04D8">
        <w:rPr>
          <w:rFonts w:cs="Arial"/>
          <w:szCs w:val="24"/>
        </w:rPr>
        <w:t>.</w:t>
      </w:r>
    </w:p>
    <w:p w:rsidR="007D5167" w:rsidRDefault="007D5167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Os questionamentos quanto à legalidade dos editais que utilizaram a solução foram devidamente enfrentados e integralmente vencidos nas cortes e tribunais competentes, sem que houvesse</w:t>
      </w:r>
      <w:r w:rsidR="00E470C5">
        <w:rPr>
          <w:rFonts w:cs="Arial"/>
          <w:szCs w:val="24"/>
        </w:rPr>
        <w:t xml:space="preserve"> atraso</w:t>
      </w:r>
      <w:r>
        <w:rPr>
          <w:rFonts w:cs="Arial"/>
          <w:szCs w:val="24"/>
        </w:rPr>
        <w:t xml:space="preserve"> impugnação do edital ou qualquer outra menção de irregularidade quanto à utilização do mecanismo de desconto.</w:t>
      </w:r>
    </w:p>
    <w:p w:rsidR="007D5167" w:rsidRDefault="007D5167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Não houve custo adicional para implantação da solução, uma vez que os termos de referência, editais e pareceres jurídicos foram produzidos por colaboradores da DERSA</w:t>
      </w:r>
      <w:r w:rsidR="00CA10D2">
        <w:rPr>
          <w:rFonts w:cs="Arial"/>
          <w:szCs w:val="24"/>
        </w:rPr>
        <w:t>, dentro do exercício de suas atividades normais. Além disso, o desenvolvimento da iniciativa possibilitou aos envolvidos um aprimoramento técnico maior e melhor domínio das questões licitatórias.</w:t>
      </w:r>
    </w:p>
    <w:p w:rsidR="00E470C5" w:rsidRDefault="00E470C5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A implantação e teste da solução utilizou</w:t>
      </w:r>
      <w:proofErr w:type="gramEnd"/>
      <w:r>
        <w:rPr>
          <w:rFonts w:cs="Arial"/>
          <w:szCs w:val="24"/>
        </w:rPr>
        <w:t xml:space="preserve"> licitações previstas no rol de contratações da DERSA, eliminando custos com projetos pilotos.</w:t>
      </w:r>
    </w:p>
    <w:p w:rsidR="00E470C5" w:rsidRDefault="00E470C5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teste da solução foi feito primeiro em uma licitação menor (obras dos Terminais de </w:t>
      </w:r>
      <w:proofErr w:type="spellStart"/>
      <w:r>
        <w:rPr>
          <w:rFonts w:cs="Arial"/>
          <w:szCs w:val="24"/>
        </w:rPr>
        <w:t>Ferry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Boat</w:t>
      </w:r>
      <w:proofErr w:type="spellEnd"/>
      <w:r>
        <w:rPr>
          <w:rFonts w:cs="Arial"/>
          <w:szCs w:val="24"/>
        </w:rPr>
        <w:t xml:space="preserve"> de Bertioga e Guarujá, com valor de referência total de R$ </w:t>
      </w:r>
      <w:r w:rsidR="001E6FEE">
        <w:rPr>
          <w:rFonts w:cs="Arial"/>
          <w:szCs w:val="24"/>
        </w:rPr>
        <w:t>19, 8 milhões</w:t>
      </w:r>
      <w:r>
        <w:rPr>
          <w:rFonts w:cs="Arial"/>
          <w:szCs w:val="24"/>
        </w:rPr>
        <w:t xml:space="preserve">) para depois ser </w:t>
      </w:r>
      <w:proofErr w:type="gramStart"/>
      <w:r>
        <w:rPr>
          <w:rFonts w:cs="Arial"/>
          <w:szCs w:val="24"/>
        </w:rPr>
        <w:t>apli</w:t>
      </w:r>
      <w:r w:rsidR="001E6FEE">
        <w:rPr>
          <w:rFonts w:cs="Arial"/>
          <w:szCs w:val="24"/>
        </w:rPr>
        <w:t>cada na licitação do Rodoanel</w:t>
      </w:r>
      <w:proofErr w:type="gramEnd"/>
      <w:r w:rsidR="001E6FEE">
        <w:rPr>
          <w:rFonts w:cs="Arial"/>
          <w:szCs w:val="24"/>
        </w:rPr>
        <w:t xml:space="preserve"> Norte (valor de referência: R$ 5,1 bilhões).</w:t>
      </w:r>
    </w:p>
    <w:p w:rsidR="00CA10D2" w:rsidRDefault="00290CF2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Dois processos </w:t>
      </w:r>
      <w:r w:rsidR="001E6FEE">
        <w:rPr>
          <w:rFonts w:cs="Arial"/>
          <w:szCs w:val="24"/>
        </w:rPr>
        <w:t xml:space="preserve">licitatórios </w:t>
      </w:r>
      <w:r>
        <w:rPr>
          <w:rFonts w:cs="Arial"/>
          <w:szCs w:val="24"/>
        </w:rPr>
        <w:t xml:space="preserve">que fizeram uso da inovação foram concluídos – Rodoanel Norte e </w:t>
      </w:r>
      <w:r w:rsidR="00E470C5">
        <w:rPr>
          <w:rFonts w:cs="Arial"/>
          <w:szCs w:val="24"/>
        </w:rPr>
        <w:t xml:space="preserve">obras dos Terminais de </w:t>
      </w:r>
      <w:proofErr w:type="spellStart"/>
      <w:r w:rsidR="00E470C5">
        <w:rPr>
          <w:rFonts w:cs="Arial"/>
          <w:szCs w:val="24"/>
        </w:rPr>
        <w:t>Ferry</w:t>
      </w:r>
      <w:proofErr w:type="spellEnd"/>
      <w:r w:rsidR="00E470C5">
        <w:rPr>
          <w:rFonts w:cs="Arial"/>
          <w:szCs w:val="24"/>
        </w:rPr>
        <w:t xml:space="preserve"> </w:t>
      </w:r>
      <w:proofErr w:type="spellStart"/>
      <w:r w:rsidR="00E470C5">
        <w:rPr>
          <w:rFonts w:cs="Arial"/>
          <w:szCs w:val="24"/>
        </w:rPr>
        <w:t>Boat</w:t>
      </w:r>
      <w:proofErr w:type="spellEnd"/>
      <w:r w:rsidR="00E470C5">
        <w:rPr>
          <w:rFonts w:cs="Arial"/>
          <w:szCs w:val="24"/>
        </w:rPr>
        <w:t xml:space="preserve"> de Bertioga e Guarujá – e registraram uma </w:t>
      </w:r>
      <w:r w:rsidR="00E470C5" w:rsidRPr="00E470C5">
        <w:rPr>
          <w:rFonts w:cs="Arial"/>
          <w:b/>
          <w:szCs w:val="24"/>
        </w:rPr>
        <w:t>economia efetiva de R$ 114,6 milhões</w:t>
      </w:r>
      <w:r w:rsidR="00E470C5">
        <w:rPr>
          <w:rFonts w:cs="Arial"/>
          <w:szCs w:val="24"/>
        </w:rPr>
        <w:t xml:space="preserve"> apenas em função da utilização da solução.</w:t>
      </w:r>
    </w:p>
    <w:p w:rsidR="00E470C5" w:rsidRDefault="00E470C5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No edital de contratação do</w:t>
      </w:r>
      <w:r w:rsidR="00802029">
        <w:rPr>
          <w:rFonts w:cs="Arial"/>
          <w:szCs w:val="24"/>
        </w:rPr>
        <w:t xml:space="preserve"> projeto Nova Tamoios Contornos</w:t>
      </w:r>
      <w:r>
        <w:rPr>
          <w:rFonts w:cs="Arial"/>
          <w:szCs w:val="24"/>
        </w:rPr>
        <w:t xml:space="preserve"> a economia efetiva em função do emprego da utilização está estimada em R$ 71,8 milhões.</w:t>
      </w:r>
    </w:p>
    <w:p w:rsidR="001E6FEE" w:rsidRDefault="001E6FEE" w:rsidP="007D5167">
      <w:pPr>
        <w:numPr>
          <w:ilvl w:val="0"/>
          <w:numId w:val="16"/>
        </w:num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 bom andamento das obras dos Terminais de Travessias Litorâneas, contratadas com o desconto em setembro de 2013 mostram que os descontos aplicados não representaram perdas na qualidade, tampouco no prazo de execução da obra.</w:t>
      </w:r>
    </w:p>
    <w:p w:rsidR="007D5167" w:rsidRDefault="007D5167" w:rsidP="009932D7">
      <w:pPr>
        <w:spacing w:after="120" w:line="288" w:lineRule="auto"/>
        <w:jc w:val="both"/>
        <w:rPr>
          <w:rFonts w:cs="Arial"/>
          <w:szCs w:val="24"/>
        </w:rPr>
      </w:pPr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</w:p>
    <w:p w:rsidR="00D90023" w:rsidRPr="00D90023" w:rsidRDefault="00D90023" w:rsidP="009932D7">
      <w:pPr>
        <w:spacing w:after="120" w:line="288" w:lineRule="auto"/>
        <w:jc w:val="both"/>
        <w:rPr>
          <w:rFonts w:cs="Arial"/>
          <w:b/>
          <w:szCs w:val="24"/>
        </w:rPr>
      </w:pPr>
      <w:r w:rsidRPr="00D90023">
        <w:rPr>
          <w:rFonts w:cs="Arial"/>
          <w:b/>
          <w:szCs w:val="24"/>
        </w:rPr>
        <w:t>Eficiência do Gasto</w:t>
      </w:r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O projeto consumiu um pequeníssimo investimento para sua implantação, da ordem de R$ 113 mil, relativos às horas trabalhadas para a sua viabilização e resultou em benefícios já contabilizados de R$ 186,4 milhões (cerca de 1650 vezes superiores</w:t>
      </w:r>
      <w:proofErr w:type="gramStart"/>
      <w:r>
        <w:rPr>
          <w:rFonts w:cs="Arial"/>
          <w:szCs w:val="24"/>
        </w:rPr>
        <w:t>)</w:t>
      </w:r>
      <w:proofErr w:type="gramEnd"/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</w:p>
    <w:p w:rsidR="001E6FEE" w:rsidRDefault="001E6FEE" w:rsidP="009932D7">
      <w:pPr>
        <w:spacing w:after="120" w:line="288" w:lineRule="auto"/>
        <w:jc w:val="both"/>
        <w:rPr>
          <w:rFonts w:cs="Arial"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Ef</w:t>
      </w:r>
      <w:r w:rsidR="00D90023">
        <w:rPr>
          <w:rFonts w:cs="Arial"/>
          <w:b/>
          <w:szCs w:val="24"/>
        </w:rPr>
        <w:t>icácia do Gasto</w:t>
      </w:r>
      <w:r w:rsidRPr="001263ED">
        <w:rPr>
          <w:rFonts w:cs="Arial"/>
          <w:szCs w:val="24"/>
        </w:rPr>
        <w:t xml:space="preserve"> </w:t>
      </w:r>
    </w:p>
    <w:p w:rsidR="001344FD" w:rsidRDefault="001344FD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1E6FEE" w:rsidRDefault="001E6FEE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>Os processos licitatórios que utilizaram a inovação de descontos para a combinação de lotes em concorrências públicas foram concluídos com êxito</w:t>
      </w:r>
      <w:r w:rsidR="001344FD">
        <w:rPr>
          <w:rFonts w:cs="Arial"/>
          <w:spacing w:val="-5"/>
          <w:szCs w:val="24"/>
        </w:rPr>
        <w:t xml:space="preserve"> e, no caso específico dos Terminais de </w:t>
      </w:r>
      <w:proofErr w:type="spellStart"/>
      <w:r w:rsidR="001344FD">
        <w:rPr>
          <w:rFonts w:cs="Arial"/>
          <w:spacing w:val="-5"/>
          <w:szCs w:val="24"/>
        </w:rPr>
        <w:t>Ferry</w:t>
      </w:r>
      <w:proofErr w:type="spellEnd"/>
      <w:r w:rsidR="001344FD">
        <w:rPr>
          <w:rFonts w:cs="Arial"/>
          <w:spacing w:val="-5"/>
          <w:szCs w:val="24"/>
        </w:rPr>
        <w:t xml:space="preserve"> </w:t>
      </w:r>
      <w:proofErr w:type="spellStart"/>
      <w:r w:rsidR="001344FD">
        <w:rPr>
          <w:rFonts w:cs="Arial"/>
          <w:spacing w:val="-5"/>
          <w:szCs w:val="24"/>
        </w:rPr>
        <w:t>Boat</w:t>
      </w:r>
      <w:proofErr w:type="spellEnd"/>
      <w:r w:rsidR="001344FD">
        <w:rPr>
          <w:rFonts w:cs="Arial"/>
          <w:spacing w:val="-5"/>
          <w:szCs w:val="24"/>
        </w:rPr>
        <w:t xml:space="preserve"> de Bertioga e Guarujá, as obras contratadas fluem conforme o cronograma contratado.</w:t>
      </w:r>
    </w:p>
    <w:p w:rsidR="001344FD" w:rsidRDefault="001344FD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1344FD" w:rsidRDefault="001344FD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>No caso do Rodoanel Norte, os contratos foram assinados em 08/02/2013 e as primeiras notas de serviço emitidas em 25/02/2013, sem que tenha sido notado, até o presente momento, qualquer risco adicional em função da adoção da solução.</w:t>
      </w:r>
    </w:p>
    <w:p w:rsidR="001344FD" w:rsidRDefault="001344FD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1344FD" w:rsidRDefault="001344FD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 xml:space="preserve">Somadas as reduções de preços geradas exclusivamente em função da aplicação dos descontos para a combinação de lotes, nas três concorrências públicas que utilizaram a solução, </w:t>
      </w:r>
      <w:r w:rsidRPr="00AA27E4">
        <w:rPr>
          <w:rFonts w:cs="Arial"/>
          <w:b/>
          <w:spacing w:val="-5"/>
          <w:szCs w:val="24"/>
        </w:rPr>
        <w:t xml:space="preserve">a DERSA </w:t>
      </w:r>
      <w:r w:rsidR="00AA27E4" w:rsidRPr="00AA27E4">
        <w:rPr>
          <w:rFonts w:cs="Arial"/>
          <w:b/>
          <w:spacing w:val="-5"/>
          <w:szCs w:val="24"/>
        </w:rPr>
        <w:t xml:space="preserve">economizou cerca </w:t>
      </w:r>
      <w:r w:rsidRPr="00AA27E4">
        <w:rPr>
          <w:rFonts w:cs="Arial"/>
          <w:b/>
          <w:spacing w:val="-5"/>
          <w:szCs w:val="24"/>
        </w:rPr>
        <w:t xml:space="preserve">de </w:t>
      </w:r>
      <w:r w:rsidR="00AA27E4" w:rsidRPr="00AA27E4">
        <w:rPr>
          <w:rFonts w:cs="Arial"/>
          <w:b/>
          <w:spacing w:val="-5"/>
          <w:szCs w:val="24"/>
        </w:rPr>
        <w:t>R$ 186,4 milhões</w:t>
      </w:r>
      <w:r w:rsidR="00AA27E4">
        <w:rPr>
          <w:rStyle w:val="Refdenotaderodap"/>
          <w:rFonts w:cs="Arial"/>
          <w:b/>
          <w:spacing w:val="-5"/>
          <w:szCs w:val="24"/>
        </w:rPr>
        <w:footnoteReference w:id="2"/>
      </w:r>
      <w:r w:rsidR="00AA27E4">
        <w:rPr>
          <w:rFonts w:cs="Arial"/>
          <w:b/>
          <w:spacing w:val="-5"/>
          <w:szCs w:val="24"/>
        </w:rPr>
        <w:t xml:space="preserve"> </w:t>
      </w:r>
      <w:r w:rsidR="00AA27E4" w:rsidRPr="00AA27E4">
        <w:rPr>
          <w:rFonts w:cs="Arial"/>
          <w:spacing w:val="-5"/>
          <w:szCs w:val="24"/>
        </w:rPr>
        <w:t xml:space="preserve">em menos de </w:t>
      </w:r>
      <w:proofErr w:type="gramStart"/>
      <w:r w:rsidR="00AA27E4" w:rsidRPr="00AA27E4">
        <w:rPr>
          <w:rFonts w:cs="Arial"/>
          <w:spacing w:val="-5"/>
          <w:szCs w:val="24"/>
        </w:rPr>
        <w:t>1</w:t>
      </w:r>
      <w:proofErr w:type="gramEnd"/>
      <w:r w:rsidR="00AA27E4" w:rsidRPr="00AA27E4">
        <w:rPr>
          <w:rFonts w:cs="Arial"/>
          <w:spacing w:val="-5"/>
          <w:szCs w:val="24"/>
        </w:rPr>
        <w:t xml:space="preserve"> ano</w:t>
      </w:r>
      <w:r w:rsidR="00AA27E4">
        <w:rPr>
          <w:rFonts w:cs="Arial"/>
          <w:spacing w:val="-5"/>
          <w:szCs w:val="24"/>
        </w:rPr>
        <w:t>.</w:t>
      </w:r>
    </w:p>
    <w:p w:rsidR="001E6FEE" w:rsidRDefault="001E6FEE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AA27E4" w:rsidRDefault="00AA27E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 xml:space="preserve">Os </w:t>
      </w:r>
      <w:r w:rsidR="009932D7" w:rsidRPr="001263ED">
        <w:rPr>
          <w:rFonts w:cs="Arial"/>
          <w:spacing w:val="-5"/>
          <w:szCs w:val="24"/>
        </w:rPr>
        <w:t>descontos</w:t>
      </w:r>
      <w:r w:rsidR="00EC4D3D">
        <w:rPr>
          <w:rFonts w:cs="Arial"/>
          <w:spacing w:val="-5"/>
          <w:szCs w:val="24"/>
        </w:rPr>
        <w:t xml:space="preserve"> </w:t>
      </w:r>
      <w:r>
        <w:rPr>
          <w:rFonts w:cs="Arial"/>
          <w:spacing w:val="-5"/>
          <w:szCs w:val="24"/>
        </w:rPr>
        <w:t xml:space="preserve">também não implicam em cerceamento da concorrência. No caso do Rodoanel Norte, por exemplo, houve 25 empresas interessadas e 18 pré-qualificadas (a maior competição entre os três lotes licitados pela DERSA: </w:t>
      </w:r>
      <w:proofErr w:type="gramStart"/>
      <w:r>
        <w:rPr>
          <w:rFonts w:cs="Arial"/>
          <w:spacing w:val="-5"/>
          <w:szCs w:val="24"/>
        </w:rPr>
        <w:t>Oeste,</w:t>
      </w:r>
      <w:proofErr w:type="gramEnd"/>
      <w:r>
        <w:rPr>
          <w:rFonts w:cs="Arial"/>
          <w:spacing w:val="-5"/>
          <w:szCs w:val="24"/>
        </w:rPr>
        <w:t>Sul e Norte). Na Nova Tamoios Contornos, 22 das 25 empresas que demonstraram interesse em participar foram pré-qualificadas.</w:t>
      </w:r>
    </w:p>
    <w:p w:rsidR="00AA27E4" w:rsidRDefault="00AA27E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</w:p>
    <w:p w:rsidR="00AA27E4" w:rsidRDefault="00AA27E4" w:rsidP="009932D7">
      <w:pPr>
        <w:spacing w:after="120" w:line="288" w:lineRule="auto"/>
        <w:jc w:val="both"/>
        <w:rPr>
          <w:rFonts w:cs="Arial"/>
          <w:spacing w:val="-5"/>
          <w:szCs w:val="24"/>
        </w:rPr>
      </w:pPr>
      <w:r>
        <w:rPr>
          <w:rFonts w:cs="Arial"/>
          <w:spacing w:val="-5"/>
          <w:szCs w:val="24"/>
        </w:rPr>
        <w:t xml:space="preserve">Ambas os empreendimentos – Rodoanel Norte e </w:t>
      </w:r>
      <w:proofErr w:type="gramStart"/>
      <w:r>
        <w:rPr>
          <w:rFonts w:cs="Arial"/>
          <w:spacing w:val="-5"/>
          <w:szCs w:val="24"/>
        </w:rPr>
        <w:t>Nova Tamoios</w:t>
      </w:r>
      <w:proofErr w:type="gramEnd"/>
      <w:r>
        <w:rPr>
          <w:rFonts w:cs="Arial"/>
          <w:spacing w:val="-5"/>
          <w:szCs w:val="24"/>
        </w:rPr>
        <w:t xml:space="preserve"> Contornos – tiveram diferenças expressivas entre o valor de referência e a melhor combinação de lotes, 23% e 32% respectivamente.</w:t>
      </w:r>
    </w:p>
    <w:p w:rsidR="00F15C40" w:rsidRDefault="00F15C40" w:rsidP="009932D7">
      <w:pPr>
        <w:spacing w:after="120" w:line="288" w:lineRule="auto"/>
        <w:jc w:val="both"/>
        <w:rPr>
          <w:rFonts w:cs="Arial"/>
          <w:szCs w:val="24"/>
        </w:rPr>
      </w:pPr>
    </w:p>
    <w:p w:rsidR="00245720" w:rsidRPr="001263ED" w:rsidRDefault="00245720" w:rsidP="009932D7">
      <w:pPr>
        <w:spacing w:after="120" w:line="288" w:lineRule="auto"/>
        <w:jc w:val="both"/>
        <w:rPr>
          <w:rFonts w:cs="Arial"/>
          <w:szCs w:val="24"/>
        </w:rPr>
      </w:pPr>
    </w:p>
    <w:p w:rsidR="00D90023" w:rsidRDefault="00D90023" w:rsidP="009932D7">
      <w:pPr>
        <w:spacing w:after="120" w:line="288" w:lineRule="auto"/>
        <w:jc w:val="both"/>
        <w:rPr>
          <w:rFonts w:cs="Arial"/>
          <w:b/>
          <w:szCs w:val="24"/>
        </w:rPr>
      </w:pPr>
    </w:p>
    <w:p w:rsidR="00D90023" w:rsidRDefault="00D90023" w:rsidP="009932D7">
      <w:pPr>
        <w:spacing w:after="120" w:line="288" w:lineRule="auto"/>
        <w:jc w:val="both"/>
        <w:rPr>
          <w:rFonts w:cs="Arial"/>
          <w:b/>
          <w:szCs w:val="24"/>
        </w:rPr>
      </w:pPr>
    </w:p>
    <w:p w:rsidR="009932D7" w:rsidRPr="001263ED" w:rsidRDefault="00D90023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Transparência do Gasto Público</w:t>
      </w:r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Por encaixar-se integralmente dentro de um processo público (a licitação), é fácil perceber a transparência da solução adotada. Além disso, é preciso considerar que o mecanismo proposto exige que os licitantes incluam sua oferta de desconto adicional na própria proposta, dando assim ciência a todos os concorrentes do valor oferecido.</w:t>
      </w:r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Além disso, o mecanismo foi utilizado em projetos já executados em parceria com outros órgãos do governo estadual, união e até multilaterais. Como essas parcerias exigem a prestação de contas por parte da DERSA, há também uma replicação da transparência do processo através desse ato:</w:t>
      </w:r>
    </w:p>
    <w:p w:rsidR="00D90023" w:rsidRDefault="00D90023" w:rsidP="009932D7">
      <w:pPr>
        <w:spacing w:after="120" w:line="288" w:lineRule="auto"/>
        <w:jc w:val="both"/>
        <w:rPr>
          <w:rFonts w:cs="Arial"/>
          <w:szCs w:val="24"/>
        </w:rPr>
      </w:pPr>
    </w:p>
    <w:p w:rsidR="00EC4D3D" w:rsidRPr="00802029" w:rsidRDefault="00802029" w:rsidP="009932D7">
      <w:pPr>
        <w:pStyle w:val="PargrafodaLista"/>
        <w:numPr>
          <w:ilvl w:val="0"/>
          <w:numId w:val="18"/>
        </w:num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szCs w:val="24"/>
        </w:rPr>
        <w:t>A</w:t>
      </w:r>
      <w:r w:rsidR="009932D7" w:rsidRPr="00802029">
        <w:rPr>
          <w:rFonts w:cs="Arial"/>
          <w:szCs w:val="24"/>
        </w:rPr>
        <w:t xml:space="preserve"> construção do Trecho Norte do Rodoanel Mario Covas </w:t>
      </w:r>
      <w:r>
        <w:rPr>
          <w:rFonts w:cs="Arial"/>
          <w:szCs w:val="24"/>
        </w:rPr>
        <w:t>envolve uma parceria entre o Estado (por intermédio do DER), da União (através do DNIT – Departamento Nacional de Infraestrutura Terrestre) e do Banco Interamericano de Desenvolvimento (BID</w:t>
      </w:r>
      <w:proofErr w:type="gramStart"/>
      <w:r>
        <w:rPr>
          <w:rFonts w:cs="Arial"/>
          <w:szCs w:val="24"/>
        </w:rPr>
        <w:t>)</w:t>
      </w:r>
      <w:proofErr w:type="gramEnd"/>
    </w:p>
    <w:p w:rsidR="00245720" w:rsidRPr="00802029" w:rsidRDefault="00802029" w:rsidP="00802029">
      <w:pPr>
        <w:pStyle w:val="PargrafodaLista"/>
        <w:numPr>
          <w:ilvl w:val="0"/>
          <w:numId w:val="18"/>
        </w:num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A Nova Tamoios Contornos e´uma parceria da DERSA com o DER  e com a Secretaria de Logística e Transportes do Estado.</w:t>
      </w:r>
    </w:p>
    <w:p w:rsidR="002C5F37" w:rsidRDefault="002C5F37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60774D" w:rsidRPr="0060774D" w:rsidRDefault="0060774D" w:rsidP="009932D7">
      <w:pPr>
        <w:spacing w:after="120" w:line="288" w:lineRule="auto"/>
        <w:jc w:val="both"/>
        <w:rPr>
          <w:rFonts w:cs="Arial"/>
          <w:b/>
          <w:noProof/>
          <w:szCs w:val="24"/>
        </w:rPr>
      </w:pPr>
      <w:r w:rsidRPr="0060774D">
        <w:rPr>
          <w:rFonts w:cs="Arial"/>
          <w:b/>
          <w:noProof/>
          <w:szCs w:val="24"/>
        </w:rPr>
        <w:t>Sustentabilidade</w:t>
      </w:r>
    </w:p>
    <w:p w:rsidR="0060774D" w:rsidRDefault="0060774D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60774D" w:rsidRDefault="0060774D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A DERSA possui um conjunto bastante rigoroso de normas que garantem a sustentabilidade de suas atividades. Todos os empreendimentos citados nesse documento seguem estas normas. </w:t>
      </w:r>
    </w:p>
    <w:p w:rsidR="0060774D" w:rsidRDefault="0060774D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60774D" w:rsidRDefault="0060774D" w:rsidP="009932D7">
      <w:pPr>
        <w:spacing w:after="120" w:line="288" w:lineRule="auto"/>
        <w:jc w:val="both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Especificamente sobre a alternativa descrita nesse item, a grande constribuição para a sustentabilidade é que ao reduzir preços sem comprometer a qualidade dos serviços, os projetos se tornam economicamente mais favoráveis sem demérito de seus benefícios ambientais e sociais. Isso s</w:t>
      </w:r>
      <w:r w:rsidR="00D13757">
        <w:rPr>
          <w:rFonts w:cs="Arial"/>
          <w:noProof/>
          <w:szCs w:val="24"/>
        </w:rPr>
        <w:t>ignifica manter as mesmas regras rígidas de redução de impactos ao meio ambiente e à sociedade, sem ter que gastar mais com isso.</w:t>
      </w:r>
    </w:p>
    <w:p w:rsidR="0060774D" w:rsidRDefault="0060774D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60774D" w:rsidRPr="001263ED" w:rsidRDefault="0060774D" w:rsidP="009932D7">
      <w:pPr>
        <w:spacing w:after="120" w:line="288" w:lineRule="auto"/>
        <w:jc w:val="both"/>
        <w:rPr>
          <w:rFonts w:cs="Arial"/>
          <w:noProof/>
          <w:szCs w:val="24"/>
        </w:rPr>
      </w:pPr>
    </w:p>
    <w:p w:rsidR="009932D7" w:rsidRPr="001263ED" w:rsidRDefault="009932D7" w:rsidP="009932D7">
      <w:pPr>
        <w:spacing w:after="120" w:line="288" w:lineRule="auto"/>
        <w:jc w:val="both"/>
        <w:rPr>
          <w:rFonts w:cs="Arial"/>
          <w:szCs w:val="24"/>
        </w:rPr>
      </w:pPr>
      <w:r w:rsidRPr="001263ED">
        <w:rPr>
          <w:rFonts w:cs="Arial"/>
          <w:b/>
          <w:szCs w:val="24"/>
        </w:rPr>
        <w:t>Resumo da iniciativa</w:t>
      </w:r>
      <w:r w:rsidRPr="001263ED">
        <w:rPr>
          <w:rFonts w:cs="Arial"/>
          <w:szCs w:val="24"/>
        </w:rPr>
        <w:t xml:space="preserve"> </w:t>
      </w:r>
    </w:p>
    <w:p w:rsidR="009932D7" w:rsidRPr="001263ED" w:rsidRDefault="00F15C40" w:rsidP="009932D7">
      <w:pPr>
        <w:spacing w:after="120"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Para</w:t>
      </w:r>
      <w:r w:rsidR="009932D7" w:rsidRPr="001263ED">
        <w:rPr>
          <w:rFonts w:cs="Arial"/>
          <w:szCs w:val="24"/>
        </w:rPr>
        <w:t xml:space="preserve"> obter preços menores, </w:t>
      </w:r>
      <w:r w:rsidR="00EC4D3D">
        <w:rPr>
          <w:rFonts w:cs="Arial"/>
          <w:szCs w:val="24"/>
        </w:rPr>
        <w:t>incentivar</w:t>
      </w:r>
      <w:r w:rsidR="009932D7" w:rsidRPr="001263ED">
        <w:rPr>
          <w:rFonts w:cs="Arial"/>
          <w:szCs w:val="24"/>
        </w:rPr>
        <w:t xml:space="preserve"> a participação de </w:t>
      </w:r>
      <w:r w:rsidR="00EC4D3D">
        <w:rPr>
          <w:rFonts w:cs="Arial"/>
          <w:szCs w:val="24"/>
        </w:rPr>
        <w:t xml:space="preserve">mais </w:t>
      </w:r>
      <w:r w:rsidR="009932D7" w:rsidRPr="001263ED">
        <w:rPr>
          <w:rFonts w:cs="Arial"/>
          <w:szCs w:val="24"/>
        </w:rPr>
        <w:t>licitantes</w:t>
      </w:r>
      <w:r w:rsidR="00EC4D3D" w:rsidRPr="001263ED">
        <w:rPr>
          <w:rFonts w:cs="Arial"/>
          <w:szCs w:val="24"/>
        </w:rPr>
        <w:t xml:space="preserve"> </w:t>
      </w:r>
      <w:r w:rsidR="00EC4D3D">
        <w:rPr>
          <w:rFonts w:cs="Arial"/>
          <w:szCs w:val="24"/>
        </w:rPr>
        <w:t>e dar transparência ao processo de obtenção de descontos</w:t>
      </w:r>
      <w:r w:rsidR="009932D7" w:rsidRPr="001263ED">
        <w:rPr>
          <w:rFonts w:cs="Arial"/>
          <w:szCs w:val="24"/>
        </w:rPr>
        <w:t xml:space="preserve">, a DERSA definiu um </w:t>
      </w:r>
      <w:r w:rsidR="00245720">
        <w:rPr>
          <w:rFonts w:cs="Arial"/>
          <w:szCs w:val="24"/>
        </w:rPr>
        <w:t>mecanismo</w:t>
      </w:r>
      <w:r w:rsidR="009932D7" w:rsidRPr="001263ED">
        <w:rPr>
          <w:rFonts w:cs="Arial"/>
          <w:szCs w:val="24"/>
        </w:rPr>
        <w:t xml:space="preserve"> </w:t>
      </w:r>
      <w:r w:rsidR="00EC4D3D">
        <w:rPr>
          <w:rFonts w:cs="Arial"/>
          <w:szCs w:val="24"/>
        </w:rPr>
        <w:t>em licitações de grande porte dividas em lotes</w:t>
      </w:r>
      <w:r w:rsidR="00245720">
        <w:rPr>
          <w:rFonts w:cs="Arial"/>
          <w:szCs w:val="24"/>
        </w:rPr>
        <w:t xml:space="preserve"> (desconto por lotes)</w:t>
      </w:r>
      <w:r w:rsidR="00B82D71">
        <w:rPr>
          <w:rFonts w:cs="Arial"/>
          <w:szCs w:val="24"/>
        </w:rPr>
        <w:t>,</w:t>
      </w:r>
      <w:r w:rsidR="009932D7" w:rsidRPr="001263ED">
        <w:rPr>
          <w:rFonts w:cs="Arial"/>
          <w:szCs w:val="24"/>
        </w:rPr>
        <w:t xml:space="preserve"> permiti</w:t>
      </w:r>
      <w:r w:rsidR="00B82D71">
        <w:rPr>
          <w:rFonts w:cs="Arial"/>
          <w:szCs w:val="24"/>
        </w:rPr>
        <w:t>ndo</w:t>
      </w:r>
      <w:r w:rsidR="009932D7" w:rsidRPr="001263ED">
        <w:rPr>
          <w:rFonts w:cs="Arial"/>
          <w:szCs w:val="24"/>
        </w:rPr>
        <w:t xml:space="preserve"> que um mesmo licitante p</w:t>
      </w:r>
      <w:r w:rsidR="00EC4D3D">
        <w:rPr>
          <w:rFonts w:cs="Arial"/>
          <w:szCs w:val="24"/>
        </w:rPr>
        <w:t>ossa</w:t>
      </w:r>
      <w:r w:rsidR="009932D7" w:rsidRPr="001263ED">
        <w:rPr>
          <w:rFonts w:cs="Arial"/>
          <w:szCs w:val="24"/>
        </w:rPr>
        <w:t xml:space="preserve"> oferecer descontos em suas propostas caso </w:t>
      </w:r>
      <w:r w:rsidR="00EC4D3D">
        <w:rPr>
          <w:rFonts w:cs="Arial"/>
          <w:szCs w:val="24"/>
        </w:rPr>
        <w:t>seja</w:t>
      </w:r>
      <w:r w:rsidR="009932D7" w:rsidRPr="001263ED">
        <w:rPr>
          <w:rFonts w:cs="Arial"/>
          <w:szCs w:val="24"/>
        </w:rPr>
        <w:t xml:space="preserve"> adjudicado </w:t>
      </w:r>
      <w:r w:rsidR="002C5F37">
        <w:rPr>
          <w:rFonts w:cs="Arial"/>
          <w:szCs w:val="24"/>
        </w:rPr>
        <w:t>mais de um lote</w:t>
      </w:r>
      <w:r w:rsidR="009932D7" w:rsidRPr="001263ED">
        <w:rPr>
          <w:rFonts w:cs="Arial"/>
          <w:szCs w:val="24"/>
        </w:rPr>
        <w:t xml:space="preserve">. </w:t>
      </w:r>
      <w:r w:rsidR="00B82D71">
        <w:rPr>
          <w:rFonts w:cs="Arial"/>
          <w:szCs w:val="24"/>
        </w:rPr>
        <w:t>Assim</w:t>
      </w:r>
      <w:r w:rsidR="009932D7" w:rsidRPr="001263ED">
        <w:rPr>
          <w:rFonts w:cs="Arial"/>
          <w:szCs w:val="24"/>
        </w:rPr>
        <w:t xml:space="preserve">, </w:t>
      </w:r>
      <w:r w:rsidR="002C5F37">
        <w:rPr>
          <w:rFonts w:cs="Arial"/>
          <w:szCs w:val="24"/>
        </w:rPr>
        <w:t>parte d</w:t>
      </w:r>
      <w:r w:rsidR="009932D7" w:rsidRPr="001263ED">
        <w:rPr>
          <w:rFonts w:cs="Arial"/>
          <w:szCs w:val="24"/>
        </w:rPr>
        <w:t xml:space="preserve">a economia obtida pelo compartilhamento de recursos (canteiros de obra e maquinário, por exemplo) </w:t>
      </w:r>
      <w:r w:rsidR="00245720">
        <w:rPr>
          <w:rFonts w:cs="Arial"/>
          <w:szCs w:val="24"/>
        </w:rPr>
        <w:t>é</w:t>
      </w:r>
      <w:r>
        <w:rPr>
          <w:rFonts w:cs="Arial"/>
          <w:szCs w:val="24"/>
        </w:rPr>
        <w:t xml:space="preserve"> </w:t>
      </w:r>
      <w:r w:rsidR="002C5F37">
        <w:rPr>
          <w:rFonts w:cs="Arial"/>
          <w:szCs w:val="24"/>
        </w:rPr>
        <w:t>conferida</w:t>
      </w:r>
      <w:r w:rsidR="00245720">
        <w:rPr>
          <w:rFonts w:cs="Arial"/>
          <w:szCs w:val="24"/>
        </w:rPr>
        <w:t xml:space="preserve"> ao Estado</w:t>
      </w:r>
      <w:r w:rsidR="009932D7" w:rsidRPr="001263ED">
        <w:rPr>
          <w:rFonts w:cs="Arial"/>
          <w:szCs w:val="24"/>
        </w:rPr>
        <w:t>, por meio de desconto adicional à proposta inicial</w:t>
      </w:r>
      <w:r w:rsidR="00B82D71">
        <w:rPr>
          <w:rFonts w:cs="Arial"/>
          <w:szCs w:val="24"/>
        </w:rPr>
        <w:t xml:space="preserve">, </w:t>
      </w:r>
      <w:r w:rsidR="009932D7" w:rsidRPr="001263ED">
        <w:rPr>
          <w:rFonts w:cs="Arial"/>
          <w:szCs w:val="24"/>
        </w:rPr>
        <w:t>represent</w:t>
      </w:r>
      <w:r w:rsidR="00B82D71">
        <w:rPr>
          <w:rFonts w:cs="Arial"/>
          <w:szCs w:val="24"/>
        </w:rPr>
        <w:t>ando</w:t>
      </w:r>
      <w:r w:rsidR="009932D7" w:rsidRPr="001263ED">
        <w:rPr>
          <w:rFonts w:cs="Arial"/>
          <w:szCs w:val="24"/>
        </w:rPr>
        <w:t xml:space="preserve"> uma economia</w:t>
      </w:r>
      <w:r w:rsidR="00EC4D3D">
        <w:rPr>
          <w:rFonts w:cs="Arial"/>
          <w:szCs w:val="24"/>
        </w:rPr>
        <w:t xml:space="preserve"> ao erário. </w:t>
      </w:r>
      <w:r w:rsidR="002C5F37">
        <w:rPr>
          <w:rFonts w:cs="Arial"/>
          <w:szCs w:val="24"/>
        </w:rPr>
        <w:t xml:space="preserve">Nas obras dos atracadouros de Bertioga </w:t>
      </w:r>
      <w:r w:rsidR="00EC4D3D">
        <w:rPr>
          <w:rFonts w:cs="Arial"/>
          <w:szCs w:val="24"/>
        </w:rPr>
        <w:t>e</w:t>
      </w:r>
      <w:r w:rsidR="002C5F37">
        <w:rPr>
          <w:rFonts w:cs="Arial"/>
          <w:szCs w:val="24"/>
        </w:rPr>
        <w:t xml:space="preserve"> Guarujá, essa economia foi de R$ 99 mil; no Rodoanel Norte</w:t>
      </w:r>
      <w:r w:rsidR="00245720">
        <w:rPr>
          <w:rFonts w:cs="Arial"/>
          <w:szCs w:val="24"/>
        </w:rPr>
        <w:t>,</w:t>
      </w:r>
      <w:r w:rsidR="002C5F37">
        <w:rPr>
          <w:rFonts w:cs="Arial"/>
          <w:szCs w:val="24"/>
        </w:rPr>
        <w:t xml:space="preserve"> </w:t>
      </w:r>
      <w:r w:rsidR="009932D7" w:rsidRPr="001263ED">
        <w:rPr>
          <w:rFonts w:cs="Arial"/>
          <w:szCs w:val="24"/>
        </w:rPr>
        <w:t>de R$</w:t>
      </w:r>
      <w:r w:rsidR="002C5F37">
        <w:rPr>
          <w:rFonts w:cs="Arial"/>
          <w:szCs w:val="24"/>
        </w:rPr>
        <w:t xml:space="preserve"> </w:t>
      </w:r>
      <w:r w:rsidR="009932D7" w:rsidRPr="001263ED">
        <w:rPr>
          <w:rFonts w:cs="Arial"/>
          <w:szCs w:val="24"/>
        </w:rPr>
        <w:t>114,5 mi</w:t>
      </w:r>
      <w:r w:rsidR="002C5F37">
        <w:rPr>
          <w:rFonts w:cs="Arial"/>
          <w:szCs w:val="24"/>
        </w:rPr>
        <w:t>lhões e na Nova Tamoios Contornos, R$ 71,8 milhões</w:t>
      </w:r>
      <w:r w:rsidR="009932D7" w:rsidRPr="001263ED">
        <w:rPr>
          <w:rFonts w:cs="Arial"/>
          <w:szCs w:val="24"/>
        </w:rPr>
        <w:t>.</w:t>
      </w:r>
      <w:r w:rsidR="00632FD3">
        <w:rPr>
          <w:rFonts w:cs="Arial"/>
          <w:szCs w:val="24"/>
        </w:rPr>
        <w:t xml:space="preserve"> O desenvolvimento da solução não implicou em custos adicionais </w:t>
      </w:r>
      <w:r w:rsidR="00D90023">
        <w:rPr>
          <w:rFonts w:cs="Arial"/>
          <w:szCs w:val="24"/>
        </w:rPr>
        <w:t xml:space="preserve">significativos </w:t>
      </w:r>
      <w:r w:rsidR="00632FD3">
        <w:rPr>
          <w:rFonts w:cs="Arial"/>
          <w:szCs w:val="24"/>
        </w:rPr>
        <w:t xml:space="preserve">à companhia </w:t>
      </w:r>
      <w:r w:rsidR="00D90023">
        <w:rPr>
          <w:rFonts w:cs="Arial"/>
          <w:szCs w:val="24"/>
        </w:rPr>
        <w:t xml:space="preserve">(cerca de R$ 113 mil) </w:t>
      </w:r>
      <w:r w:rsidR="00632FD3">
        <w:rPr>
          <w:rFonts w:cs="Arial"/>
          <w:szCs w:val="24"/>
        </w:rPr>
        <w:t>e nem acresceu novos riscos às licitações e contratos conduzidos pela DERSA.</w:t>
      </w:r>
    </w:p>
    <w:p w:rsidR="0002790C" w:rsidRPr="009932D7" w:rsidRDefault="0002790C" w:rsidP="009932D7">
      <w:pPr>
        <w:rPr>
          <w:szCs w:val="24"/>
        </w:rPr>
      </w:pPr>
    </w:p>
    <w:sectPr w:rsidR="0002790C" w:rsidRPr="009932D7" w:rsidSect="003640A8">
      <w:headerReference w:type="default" r:id="rId8"/>
      <w:footerReference w:type="default" r:id="rId9"/>
      <w:pgSz w:w="11906" w:h="16838" w:code="9"/>
      <w:pgMar w:top="1418" w:right="1134" w:bottom="340" w:left="1701" w:header="709" w:footer="8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1E" w:rsidRDefault="0007421E">
      <w:r>
        <w:separator/>
      </w:r>
    </w:p>
  </w:endnote>
  <w:endnote w:type="continuationSeparator" w:id="0">
    <w:p w:rsidR="0007421E" w:rsidRDefault="0007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94" w:type="dxa"/>
      <w:tblLook w:val="04A0"/>
    </w:tblPr>
    <w:tblGrid>
      <w:gridCol w:w="5878"/>
      <w:gridCol w:w="2916"/>
    </w:tblGrid>
    <w:tr w:rsidR="00D90023" w:rsidRPr="00FD2257" w:rsidTr="00FD2257">
      <w:trPr>
        <w:trHeight w:val="372"/>
      </w:trPr>
      <w:tc>
        <w:tcPr>
          <w:tcW w:w="5878" w:type="dxa"/>
        </w:tcPr>
        <w:p w:rsidR="00D90023" w:rsidRPr="00FD2257" w:rsidRDefault="00D90023">
          <w:pPr>
            <w:pStyle w:val="Rodap"/>
            <w:rPr>
              <w:rFonts w:cs="Arial"/>
              <w:sz w:val="10"/>
              <w:szCs w:val="10"/>
            </w:rPr>
          </w:pPr>
          <w:r w:rsidRPr="00FD2257">
            <w:rPr>
              <w:rFonts w:cs="Arial"/>
              <w:sz w:val="10"/>
              <w:szCs w:val="10"/>
            </w:rPr>
            <w:t xml:space="preserve"> </w:t>
          </w:r>
        </w:p>
        <w:p w:rsidR="00D90023" w:rsidRPr="00FD2257" w:rsidRDefault="00D90023">
          <w:pPr>
            <w:pStyle w:val="Rodap"/>
            <w:rPr>
              <w:rFonts w:cs="Arial"/>
              <w:sz w:val="10"/>
              <w:szCs w:val="10"/>
            </w:rPr>
          </w:pPr>
        </w:p>
        <w:p w:rsidR="00D90023" w:rsidRPr="00FD2257" w:rsidRDefault="00D90023">
          <w:pPr>
            <w:pStyle w:val="Rodap"/>
            <w:rPr>
              <w:rFonts w:cs="Arial"/>
              <w:sz w:val="10"/>
              <w:szCs w:val="10"/>
            </w:rPr>
          </w:pPr>
        </w:p>
        <w:p w:rsidR="00D90023" w:rsidRPr="00FD2257" w:rsidRDefault="00D90023">
          <w:pPr>
            <w:pStyle w:val="Rodap"/>
            <w:rPr>
              <w:rFonts w:cs="Arial"/>
              <w:sz w:val="10"/>
              <w:szCs w:val="10"/>
            </w:rPr>
          </w:pPr>
        </w:p>
        <w:p w:rsidR="00D90023" w:rsidRPr="00FD2257" w:rsidRDefault="00D90023">
          <w:pPr>
            <w:pStyle w:val="Rodap"/>
            <w:rPr>
              <w:rFonts w:cs="Arial"/>
              <w:sz w:val="10"/>
              <w:szCs w:val="10"/>
            </w:rPr>
          </w:pPr>
        </w:p>
        <w:p w:rsidR="00D90023" w:rsidRPr="00FD2257" w:rsidRDefault="00D90023">
          <w:pPr>
            <w:pStyle w:val="Rodap"/>
            <w:rPr>
              <w:sz w:val="10"/>
              <w:szCs w:val="10"/>
            </w:rPr>
          </w:pPr>
          <w:r>
            <w:rPr>
              <w:rFonts w:cs="Arial"/>
              <w:sz w:val="10"/>
              <w:szCs w:val="10"/>
            </w:rPr>
            <w:t>GE</w:t>
          </w:r>
          <w:r w:rsidRPr="00FD2257">
            <w:rPr>
              <w:rFonts w:cs="Arial"/>
              <w:sz w:val="10"/>
              <w:szCs w:val="10"/>
            </w:rPr>
            <w:t>-01</w:t>
          </w:r>
        </w:p>
      </w:tc>
      <w:tc>
        <w:tcPr>
          <w:tcW w:w="2916" w:type="dxa"/>
        </w:tcPr>
        <w:p w:rsidR="00D90023" w:rsidRPr="00FD2257" w:rsidRDefault="00D90023">
          <w:pPr>
            <w:pStyle w:val="Rodap"/>
            <w:ind w:left="708"/>
            <w:rPr>
              <w:rFonts w:cs="Arial"/>
              <w:sz w:val="10"/>
              <w:szCs w:val="10"/>
            </w:rPr>
          </w:pPr>
          <w:r w:rsidRPr="00FD2257">
            <w:rPr>
              <w:rFonts w:cs="Arial"/>
              <w:sz w:val="10"/>
              <w:szCs w:val="10"/>
            </w:rPr>
            <w:t xml:space="preserve">   </w:t>
          </w:r>
        </w:p>
        <w:p w:rsidR="00D90023" w:rsidRPr="00FD2257" w:rsidRDefault="00D90023">
          <w:pPr>
            <w:pStyle w:val="Rodap"/>
            <w:ind w:left="708"/>
            <w:rPr>
              <w:rFonts w:cs="Arial"/>
              <w:b/>
              <w:sz w:val="10"/>
              <w:szCs w:val="10"/>
            </w:rPr>
          </w:pPr>
          <w:r w:rsidRPr="00FD2257">
            <w:rPr>
              <w:rFonts w:cs="Arial"/>
              <w:b/>
              <w:sz w:val="10"/>
              <w:szCs w:val="10"/>
            </w:rPr>
            <w:t>Desenvolvimento Rodoviário S.A.</w:t>
          </w:r>
          <w:r w:rsidRPr="00FD2257">
            <w:rPr>
              <w:rFonts w:cs="Arial"/>
              <w:b/>
              <w:sz w:val="10"/>
              <w:szCs w:val="10"/>
            </w:rPr>
            <w:br/>
            <w:t xml:space="preserve">Rua Iaiá, 126 – Itaim Bibi                                                                          </w:t>
          </w:r>
          <w:r w:rsidRPr="00FD2257">
            <w:rPr>
              <w:rFonts w:cs="Arial"/>
              <w:b/>
              <w:sz w:val="10"/>
              <w:szCs w:val="10"/>
            </w:rPr>
            <w:br/>
            <w:t xml:space="preserve">CEP 04542-906 – São Paulo – </w:t>
          </w:r>
          <w:proofErr w:type="gramStart"/>
          <w:r w:rsidRPr="00FD2257">
            <w:rPr>
              <w:rFonts w:cs="Arial"/>
              <w:b/>
              <w:sz w:val="10"/>
              <w:szCs w:val="10"/>
            </w:rPr>
            <w:t>SP</w:t>
          </w:r>
          <w:proofErr w:type="gramEnd"/>
        </w:p>
        <w:p w:rsidR="00D90023" w:rsidRPr="00FD2257" w:rsidRDefault="00D90023">
          <w:pPr>
            <w:pStyle w:val="Rodap"/>
            <w:ind w:left="708"/>
            <w:rPr>
              <w:sz w:val="10"/>
              <w:szCs w:val="10"/>
            </w:rPr>
          </w:pPr>
          <w:r w:rsidRPr="00FD2257">
            <w:rPr>
              <w:rFonts w:cs="Arial"/>
              <w:b/>
              <w:sz w:val="10"/>
              <w:szCs w:val="10"/>
            </w:rPr>
            <w:t xml:space="preserve">Tel. (11) 3702-8000      </w:t>
          </w:r>
          <w:r w:rsidRPr="00FD2257">
            <w:rPr>
              <w:rFonts w:cs="Arial"/>
              <w:b/>
              <w:sz w:val="10"/>
              <w:szCs w:val="10"/>
            </w:rPr>
            <w:br/>
            <w:t>http://www.dersa.sp.gov</w:t>
          </w:r>
          <w:r w:rsidRPr="00FD2257">
            <w:rPr>
              <w:rFonts w:cs="Arial"/>
              <w:sz w:val="10"/>
              <w:szCs w:val="10"/>
            </w:rPr>
            <w:t>.br</w:t>
          </w:r>
        </w:p>
      </w:tc>
    </w:tr>
  </w:tbl>
  <w:p w:rsidR="00D90023" w:rsidRPr="00FD2257" w:rsidRDefault="00D90023">
    <w:pPr>
      <w:pStyle w:val="Rodap"/>
      <w:jc w:val="center"/>
      <w:rPr>
        <w:rFonts w:cs="Arial"/>
        <w:sz w:val="10"/>
        <w:szCs w:val="10"/>
      </w:rPr>
    </w:pPr>
    <w:r w:rsidRPr="00FD2257">
      <w:rPr>
        <w:rFonts w:cs="Arial"/>
        <w:sz w:val="10"/>
        <w:szCs w:val="10"/>
      </w:rPr>
      <w:t xml:space="preserve">Página </w:t>
    </w:r>
    <w:r w:rsidR="005E160A" w:rsidRPr="00FD2257">
      <w:rPr>
        <w:rFonts w:cs="Arial"/>
        <w:b/>
        <w:sz w:val="10"/>
        <w:szCs w:val="10"/>
      </w:rPr>
      <w:fldChar w:fldCharType="begin"/>
    </w:r>
    <w:r w:rsidRPr="00FD2257">
      <w:rPr>
        <w:rFonts w:cs="Arial"/>
        <w:b/>
        <w:sz w:val="10"/>
        <w:szCs w:val="10"/>
      </w:rPr>
      <w:instrText>PAGE</w:instrText>
    </w:r>
    <w:r w:rsidR="005E160A" w:rsidRPr="00FD2257">
      <w:rPr>
        <w:rFonts w:cs="Arial"/>
        <w:b/>
        <w:sz w:val="10"/>
        <w:szCs w:val="10"/>
      </w:rPr>
      <w:fldChar w:fldCharType="separate"/>
    </w:r>
    <w:r w:rsidR="002451BE">
      <w:rPr>
        <w:rFonts w:cs="Arial"/>
        <w:b/>
        <w:noProof/>
        <w:sz w:val="10"/>
        <w:szCs w:val="10"/>
      </w:rPr>
      <w:t>1</w:t>
    </w:r>
    <w:r w:rsidR="005E160A" w:rsidRPr="00FD2257">
      <w:rPr>
        <w:rFonts w:cs="Arial"/>
        <w:b/>
        <w:sz w:val="10"/>
        <w:szCs w:val="10"/>
      </w:rPr>
      <w:fldChar w:fldCharType="end"/>
    </w:r>
    <w:r w:rsidRPr="00FD2257">
      <w:rPr>
        <w:rFonts w:cs="Arial"/>
        <w:sz w:val="10"/>
        <w:szCs w:val="10"/>
      </w:rPr>
      <w:t xml:space="preserve"> de </w:t>
    </w:r>
    <w:r w:rsidR="005E160A" w:rsidRPr="00FD2257">
      <w:rPr>
        <w:rFonts w:cs="Arial"/>
        <w:b/>
        <w:sz w:val="10"/>
        <w:szCs w:val="10"/>
      </w:rPr>
      <w:fldChar w:fldCharType="begin"/>
    </w:r>
    <w:r w:rsidRPr="00FD2257">
      <w:rPr>
        <w:rFonts w:cs="Arial"/>
        <w:b/>
        <w:sz w:val="10"/>
        <w:szCs w:val="10"/>
      </w:rPr>
      <w:instrText>NUMPAGES</w:instrText>
    </w:r>
    <w:r w:rsidR="005E160A" w:rsidRPr="00FD2257">
      <w:rPr>
        <w:rFonts w:cs="Arial"/>
        <w:b/>
        <w:sz w:val="10"/>
        <w:szCs w:val="10"/>
      </w:rPr>
      <w:fldChar w:fldCharType="separate"/>
    </w:r>
    <w:r w:rsidR="002451BE">
      <w:rPr>
        <w:rFonts w:cs="Arial"/>
        <w:b/>
        <w:noProof/>
        <w:sz w:val="10"/>
        <w:szCs w:val="10"/>
      </w:rPr>
      <w:t>16</w:t>
    </w:r>
    <w:r w:rsidR="005E160A" w:rsidRPr="00FD2257">
      <w:rPr>
        <w:rFonts w:cs="Arial"/>
        <w:b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1E" w:rsidRDefault="0007421E">
      <w:r>
        <w:separator/>
      </w:r>
    </w:p>
  </w:footnote>
  <w:footnote w:type="continuationSeparator" w:id="0">
    <w:p w:rsidR="0007421E" w:rsidRDefault="0007421E">
      <w:r>
        <w:continuationSeparator/>
      </w:r>
    </w:p>
  </w:footnote>
  <w:footnote w:id="1">
    <w:p w:rsidR="00D90023" w:rsidRDefault="00D90023">
      <w:pPr>
        <w:pStyle w:val="Textodenotaderodap"/>
      </w:pPr>
      <w:r>
        <w:rPr>
          <w:rStyle w:val="Refdenotaderodap"/>
        </w:rPr>
        <w:footnoteRef/>
      </w:r>
      <w:r>
        <w:t xml:space="preserve"> Valor calculado com base nas demonstrações financeiras do exercício 2013 da DERSA.</w:t>
      </w:r>
    </w:p>
  </w:footnote>
  <w:footnote w:id="2">
    <w:p w:rsidR="00D90023" w:rsidRDefault="00D90023">
      <w:pPr>
        <w:pStyle w:val="Textodenotaderodap"/>
      </w:pPr>
      <w:r>
        <w:rPr>
          <w:rStyle w:val="Refdenotaderodap"/>
        </w:rPr>
        <w:footnoteRef/>
      </w:r>
      <w:r>
        <w:t xml:space="preserve"> A licitação dos contornos rodoviários de Caraguatatuba e São Sebastião (Nova Tamoios Contornos) encontra-se em fase final de análise e</w:t>
      </w:r>
      <w:proofErr w:type="gramStart"/>
      <w:r>
        <w:t xml:space="preserve"> portanto</w:t>
      </w:r>
      <w:proofErr w:type="gramEnd"/>
      <w:r>
        <w:t xml:space="preserve"> pode ter seus resultados alterados.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23" w:rsidRDefault="00D90023">
    <w:pPr>
      <w:pStyle w:val="Cabealho"/>
    </w:pPr>
    <w:r>
      <w:rPr>
        <w:noProof/>
      </w:rPr>
      <w:drawing>
        <wp:inline distT="0" distB="0" distL="0" distR="0">
          <wp:extent cx="5762625" cy="285750"/>
          <wp:effectExtent l="19050" t="0" r="9525" b="0"/>
          <wp:docPr id="1" name="Imagem 1" descr="http://intranetcolaborativa/institucional/Logotipos/DersaLetrasBrancasEstend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intranetcolaborativa/institucional/Logotipos/DersaLetrasBrancasEstendi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3FE4"/>
    <w:multiLevelType w:val="hybridMultilevel"/>
    <w:tmpl w:val="01A2094C"/>
    <w:lvl w:ilvl="0" w:tplc="FD6E2C10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08002075"/>
    <w:multiLevelType w:val="hybridMultilevel"/>
    <w:tmpl w:val="C8A8725A"/>
    <w:lvl w:ilvl="0" w:tplc="04160017">
      <w:start w:val="1"/>
      <w:numFmt w:val="lowerLetter"/>
      <w:lvlText w:val="%1)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11837FC3"/>
    <w:multiLevelType w:val="hybridMultilevel"/>
    <w:tmpl w:val="15B28AA8"/>
    <w:lvl w:ilvl="0" w:tplc="ADF4E1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6BC1"/>
    <w:multiLevelType w:val="hybridMultilevel"/>
    <w:tmpl w:val="0EA06F96"/>
    <w:lvl w:ilvl="0" w:tplc="04160017">
      <w:start w:val="1"/>
      <w:numFmt w:val="lowerLetter"/>
      <w:lvlText w:val="%1)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2D846BE1"/>
    <w:multiLevelType w:val="hybridMultilevel"/>
    <w:tmpl w:val="BD0E5C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6913A4"/>
    <w:multiLevelType w:val="hybridMultilevel"/>
    <w:tmpl w:val="6D968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272DF"/>
    <w:multiLevelType w:val="hybridMultilevel"/>
    <w:tmpl w:val="FC4CB3FA"/>
    <w:lvl w:ilvl="0" w:tplc="ED4C182A">
      <w:start w:val="1"/>
      <w:numFmt w:val="lowerLetter"/>
      <w:lvlText w:val="%1."/>
      <w:lvlJc w:val="left"/>
      <w:pPr>
        <w:ind w:left="355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3626076C"/>
    <w:multiLevelType w:val="hybridMultilevel"/>
    <w:tmpl w:val="E4368240"/>
    <w:lvl w:ilvl="0" w:tplc="0416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36841A9D"/>
    <w:multiLevelType w:val="hybridMultilevel"/>
    <w:tmpl w:val="91783CF2"/>
    <w:lvl w:ilvl="0" w:tplc="CE4612B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7626C7A"/>
    <w:multiLevelType w:val="hybridMultilevel"/>
    <w:tmpl w:val="6F58F7BE"/>
    <w:lvl w:ilvl="0" w:tplc="F740E886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59BC53D5"/>
    <w:multiLevelType w:val="hybridMultilevel"/>
    <w:tmpl w:val="1746556C"/>
    <w:lvl w:ilvl="0" w:tplc="70922598">
      <w:start w:val="1"/>
      <w:numFmt w:val="decimal"/>
      <w:lvlText w:val="%1."/>
      <w:lvlJc w:val="left"/>
      <w:pPr>
        <w:ind w:left="29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5B342CDD"/>
    <w:multiLevelType w:val="hybridMultilevel"/>
    <w:tmpl w:val="2FB24A9C"/>
    <w:lvl w:ilvl="0" w:tplc="AA82A7DE">
      <w:start w:val="1"/>
      <w:numFmt w:val="bullet"/>
      <w:pStyle w:val="4Marcadores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B82537E"/>
    <w:multiLevelType w:val="hybridMultilevel"/>
    <w:tmpl w:val="A1CC8888"/>
    <w:lvl w:ilvl="0" w:tplc="E64E04D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B1422C7"/>
    <w:multiLevelType w:val="hybridMultilevel"/>
    <w:tmpl w:val="7BAE2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C3515"/>
    <w:multiLevelType w:val="hybridMultilevel"/>
    <w:tmpl w:val="5B925C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8780E"/>
    <w:multiLevelType w:val="hybridMultilevel"/>
    <w:tmpl w:val="F1C2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9410B"/>
    <w:multiLevelType w:val="hybridMultilevel"/>
    <w:tmpl w:val="21BCB2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732146"/>
    <w:multiLevelType w:val="hybridMultilevel"/>
    <w:tmpl w:val="5BCC2F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5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B80886"/>
    <w:rsid w:val="000025CC"/>
    <w:rsid w:val="0000584B"/>
    <w:rsid w:val="00010E08"/>
    <w:rsid w:val="000113BC"/>
    <w:rsid w:val="000213FA"/>
    <w:rsid w:val="0002790C"/>
    <w:rsid w:val="000354A9"/>
    <w:rsid w:val="00037619"/>
    <w:rsid w:val="00042B02"/>
    <w:rsid w:val="00044369"/>
    <w:rsid w:val="0004683E"/>
    <w:rsid w:val="00052ECB"/>
    <w:rsid w:val="000538B3"/>
    <w:rsid w:val="00063BC2"/>
    <w:rsid w:val="00066F8D"/>
    <w:rsid w:val="000702C9"/>
    <w:rsid w:val="0007421E"/>
    <w:rsid w:val="000761E7"/>
    <w:rsid w:val="0008106D"/>
    <w:rsid w:val="00081CBC"/>
    <w:rsid w:val="000921E6"/>
    <w:rsid w:val="000948B7"/>
    <w:rsid w:val="000A1AAA"/>
    <w:rsid w:val="000A711A"/>
    <w:rsid w:val="000B1E96"/>
    <w:rsid w:val="000B25CF"/>
    <w:rsid w:val="000C1927"/>
    <w:rsid w:val="000C2E28"/>
    <w:rsid w:val="000C5CA3"/>
    <w:rsid w:val="000D0C1C"/>
    <w:rsid w:val="000D0C8A"/>
    <w:rsid w:val="000D208A"/>
    <w:rsid w:val="000D37EE"/>
    <w:rsid w:val="000D39D6"/>
    <w:rsid w:val="000E18C3"/>
    <w:rsid w:val="000E1DED"/>
    <w:rsid w:val="000E3F5D"/>
    <w:rsid w:val="000E5C68"/>
    <w:rsid w:val="0010455B"/>
    <w:rsid w:val="0010602C"/>
    <w:rsid w:val="00106B4A"/>
    <w:rsid w:val="00110B53"/>
    <w:rsid w:val="00110F80"/>
    <w:rsid w:val="001134D9"/>
    <w:rsid w:val="001219C9"/>
    <w:rsid w:val="00122B94"/>
    <w:rsid w:val="00125A51"/>
    <w:rsid w:val="001344FD"/>
    <w:rsid w:val="0015532C"/>
    <w:rsid w:val="001710C8"/>
    <w:rsid w:val="0017683F"/>
    <w:rsid w:val="001821CD"/>
    <w:rsid w:val="00190878"/>
    <w:rsid w:val="00193B41"/>
    <w:rsid w:val="001A013D"/>
    <w:rsid w:val="001A2AB4"/>
    <w:rsid w:val="001A3C5D"/>
    <w:rsid w:val="001A5133"/>
    <w:rsid w:val="001A6EDB"/>
    <w:rsid w:val="001B5113"/>
    <w:rsid w:val="001C0A24"/>
    <w:rsid w:val="001C609B"/>
    <w:rsid w:val="001E498A"/>
    <w:rsid w:val="001E5B00"/>
    <w:rsid w:val="001E6FEE"/>
    <w:rsid w:val="001F18AD"/>
    <w:rsid w:val="001F3DEE"/>
    <w:rsid w:val="00203D6D"/>
    <w:rsid w:val="00205161"/>
    <w:rsid w:val="0020646C"/>
    <w:rsid w:val="002070BC"/>
    <w:rsid w:val="00223642"/>
    <w:rsid w:val="00225B36"/>
    <w:rsid w:val="00226A52"/>
    <w:rsid w:val="0024368A"/>
    <w:rsid w:val="002451BE"/>
    <w:rsid w:val="00245720"/>
    <w:rsid w:val="00250608"/>
    <w:rsid w:val="00251F76"/>
    <w:rsid w:val="002615C2"/>
    <w:rsid w:val="00266426"/>
    <w:rsid w:val="00266C5C"/>
    <w:rsid w:val="002739D5"/>
    <w:rsid w:val="00274470"/>
    <w:rsid w:val="002757A0"/>
    <w:rsid w:val="00275F1A"/>
    <w:rsid w:val="00276B2B"/>
    <w:rsid w:val="00287D7A"/>
    <w:rsid w:val="00290CF2"/>
    <w:rsid w:val="00292C22"/>
    <w:rsid w:val="002A74D7"/>
    <w:rsid w:val="002C34C6"/>
    <w:rsid w:val="002C3AA2"/>
    <w:rsid w:val="002C5F37"/>
    <w:rsid w:val="002D43B2"/>
    <w:rsid w:val="002E5C69"/>
    <w:rsid w:val="002E6BFB"/>
    <w:rsid w:val="002E6D2E"/>
    <w:rsid w:val="002F08F3"/>
    <w:rsid w:val="00305129"/>
    <w:rsid w:val="00310A17"/>
    <w:rsid w:val="00321854"/>
    <w:rsid w:val="00327835"/>
    <w:rsid w:val="00333B4B"/>
    <w:rsid w:val="00334FB4"/>
    <w:rsid w:val="00335F75"/>
    <w:rsid w:val="003433BC"/>
    <w:rsid w:val="0035327A"/>
    <w:rsid w:val="003640A8"/>
    <w:rsid w:val="003640AB"/>
    <w:rsid w:val="00364DB5"/>
    <w:rsid w:val="003717AB"/>
    <w:rsid w:val="003806B4"/>
    <w:rsid w:val="00381165"/>
    <w:rsid w:val="00383F64"/>
    <w:rsid w:val="00385066"/>
    <w:rsid w:val="003B58AC"/>
    <w:rsid w:val="003C2DFD"/>
    <w:rsid w:val="003C6A24"/>
    <w:rsid w:val="003D086B"/>
    <w:rsid w:val="003D4BE7"/>
    <w:rsid w:val="003E3D82"/>
    <w:rsid w:val="003E4D62"/>
    <w:rsid w:val="003E66A4"/>
    <w:rsid w:val="003E71C3"/>
    <w:rsid w:val="003E7E8C"/>
    <w:rsid w:val="003F42E7"/>
    <w:rsid w:val="003F6AB0"/>
    <w:rsid w:val="00410ABF"/>
    <w:rsid w:val="0043044F"/>
    <w:rsid w:val="00431ACF"/>
    <w:rsid w:val="00433A55"/>
    <w:rsid w:val="0044136B"/>
    <w:rsid w:val="004449AC"/>
    <w:rsid w:val="00447697"/>
    <w:rsid w:val="00456551"/>
    <w:rsid w:val="00456BFB"/>
    <w:rsid w:val="0046230E"/>
    <w:rsid w:val="00462D47"/>
    <w:rsid w:val="00463279"/>
    <w:rsid w:val="00465AD6"/>
    <w:rsid w:val="004661E6"/>
    <w:rsid w:val="00475F64"/>
    <w:rsid w:val="0048671E"/>
    <w:rsid w:val="00495CBF"/>
    <w:rsid w:val="00497167"/>
    <w:rsid w:val="004B2D1B"/>
    <w:rsid w:val="004D1A18"/>
    <w:rsid w:val="004D1CA7"/>
    <w:rsid w:val="004D27F9"/>
    <w:rsid w:val="004D37CE"/>
    <w:rsid w:val="004F24B5"/>
    <w:rsid w:val="00503469"/>
    <w:rsid w:val="00505B55"/>
    <w:rsid w:val="00511ADB"/>
    <w:rsid w:val="00520041"/>
    <w:rsid w:val="00545D1F"/>
    <w:rsid w:val="00547429"/>
    <w:rsid w:val="005516B5"/>
    <w:rsid w:val="00561405"/>
    <w:rsid w:val="00563D8E"/>
    <w:rsid w:val="0056529A"/>
    <w:rsid w:val="005747AD"/>
    <w:rsid w:val="00575EF3"/>
    <w:rsid w:val="00576078"/>
    <w:rsid w:val="00592E74"/>
    <w:rsid w:val="00593620"/>
    <w:rsid w:val="005936B1"/>
    <w:rsid w:val="005936EC"/>
    <w:rsid w:val="00594D0B"/>
    <w:rsid w:val="0059514F"/>
    <w:rsid w:val="00596A84"/>
    <w:rsid w:val="005A1240"/>
    <w:rsid w:val="005B4FFC"/>
    <w:rsid w:val="005B731B"/>
    <w:rsid w:val="005B77D6"/>
    <w:rsid w:val="005D4A15"/>
    <w:rsid w:val="005D6F51"/>
    <w:rsid w:val="005E0841"/>
    <w:rsid w:val="005E160A"/>
    <w:rsid w:val="005E4E44"/>
    <w:rsid w:val="005E506C"/>
    <w:rsid w:val="005E6185"/>
    <w:rsid w:val="005F3837"/>
    <w:rsid w:val="005F3E12"/>
    <w:rsid w:val="005F5071"/>
    <w:rsid w:val="005F6136"/>
    <w:rsid w:val="00600EAB"/>
    <w:rsid w:val="00601718"/>
    <w:rsid w:val="00601D4B"/>
    <w:rsid w:val="0060565F"/>
    <w:rsid w:val="0060774D"/>
    <w:rsid w:val="00621207"/>
    <w:rsid w:val="00621F9E"/>
    <w:rsid w:val="00632FD3"/>
    <w:rsid w:val="006428AB"/>
    <w:rsid w:val="00644179"/>
    <w:rsid w:val="00646B17"/>
    <w:rsid w:val="00650D46"/>
    <w:rsid w:val="00652A2A"/>
    <w:rsid w:val="0066406D"/>
    <w:rsid w:val="00666E74"/>
    <w:rsid w:val="0068221B"/>
    <w:rsid w:val="006850BD"/>
    <w:rsid w:val="00687AEC"/>
    <w:rsid w:val="00692D1F"/>
    <w:rsid w:val="00697CB9"/>
    <w:rsid w:val="006A1912"/>
    <w:rsid w:val="006A4720"/>
    <w:rsid w:val="006C12C1"/>
    <w:rsid w:val="006D365B"/>
    <w:rsid w:val="006E17A3"/>
    <w:rsid w:val="006F0906"/>
    <w:rsid w:val="006F5123"/>
    <w:rsid w:val="007051DE"/>
    <w:rsid w:val="00707512"/>
    <w:rsid w:val="00712054"/>
    <w:rsid w:val="00716B50"/>
    <w:rsid w:val="007215DF"/>
    <w:rsid w:val="0073024A"/>
    <w:rsid w:val="007333AF"/>
    <w:rsid w:val="00737128"/>
    <w:rsid w:val="00745AD3"/>
    <w:rsid w:val="00745F80"/>
    <w:rsid w:val="0075103B"/>
    <w:rsid w:val="00754014"/>
    <w:rsid w:val="00757D70"/>
    <w:rsid w:val="00766A92"/>
    <w:rsid w:val="00771B40"/>
    <w:rsid w:val="00773EDE"/>
    <w:rsid w:val="00774A16"/>
    <w:rsid w:val="0078585E"/>
    <w:rsid w:val="007B38FE"/>
    <w:rsid w:val="007B52F7"/>
    <w:rsid w:val="007C04D8"/>
    <w:rsid w:val="007C3188"/>
    <w:rsid w:val="007C3D1E"/>
    <w:rsid w:val="007C5669"/>
    <w:rsid w:val="007C5C47"/>
    <w:rsid w:val="007D2482"/>
    <w:rsid w:val="007D5167"/>
    <w:rsid w:val="007E054D"/>
    <w:rsid w:val="007E0EB8"/>
    <w:rsid w:val="007E2D14"/>
    <w:rsid w:val="007E45AF"/>
    <w:rsid w:val="007F69CF"/>
    <w:rsid w:val="007F76AF"/>
    <w:rsid w:val="00802029"/>
    <w:rsid w:val="00806853"/>
    <w:rsid w:val="00813C50"/>
    <w:rsid w:val="00816D99"/>
    <w:rsid w:val="00817075"/>
    <w:rsid w:val="008230E1"/>
    <w:rsid w:val="00824EFF"/>
    <w:rsid w:val="008272BC"/>
    <w:rsid w:val="00830E49"/>
    <w:rsid w:val="008352ED"/>
    <w:rsid w:val="0084441E"/>
    <w:rsid w:val="008457E5"/>
    <w:rsid w:val="00845B71"/>
    <w:rsid w:val="00865923"/>
    <w:rsid w:val="00877D23"/>
    <w:rsid w:val="00890A46"/>
    <w:rsid w:val="008A0025"/>
    <w:rsid w:val="008B59FF"/>
    <w:rsid w:val="008B7C60"/>
    <w:rsid w:val="008C1A49"/>
    <w:rsid w:val="008C5B35"/>
    <w:rsid w:val="008D52DC"/>
    <w:rsid w:val="008F2118"/>
    <w:rsid w:val="00900160"/>
    <w:rsid w:val="009057C5"/>
    <w:rsid w:val="00907DAB"/>
    <w:rsid w:val="0091110A"/>
    <w:rsid w:val="00914B5C"/>
    <w:rsid w:val="009213A9"/>
    <w:rsid w:val="009325BA"/>
    <w:rsid w:val="0094343F"/>
    <w:rsid w:val="0094480C"/>
    <w:rsid w:val="00947FD5"/>
    <w:rsid w:val="00957B5E"/>
    <w:rsid w:val="009666F9"/>
    <w:rsid w:val="00967DC5"/>
    <w:rsid w:val="00972F60"/>
    <w:rsid w:val="00990F7C"/>
    <w:rsid w:val="00991733"/>
    <w:rsid w:val="009932D7"/>
    <w:rsid w:val="00997ADA"/>
    <w:rsid w:val="009A1AA4"/>
    <w:rsid w:val="009A1C27"/>
    <w:rsid w:val="009B2CCE"/>
    <w:rsid w:val="009B6821"/>
    <w:rsid w:val="009C1A8B"/>
    <w:rsid w:val="009C29E0"/>
    <w:rsid w:val="009C7471"/>
    <w:rsid w:val="009D1B55"/>
    <w:rsid w:val="009D1FD5"/>
    <w:rsid w:val="009E4B00"/>
    <w:rsid w:val="009E5141"/>
    <w:rsid w:val="009E5311"/>
    <w:rsid w:val="009E74CC"/>
    <w:rsid w:val="009F0280"/>
    <w:rsid w:val="009F127B"/>
    <w:rsid w:val="009F33CC"/>
    <w:rsid w:val="009F5657"/>
    <w:rsid w:val="00A0060E"/>
    <w:rsid w:val="00A02295"/>
    <w:rsid w:val="00A03E6B"/>
    <w:rsid w:val="00A05BAF"/>
    <w:rsid w:val="00A0607B"/>
    <w:rsid w:val="00A071F1"/>
    <w:rsid w:val="00A10629"/>
    <w:rsid w:val="00A17CEB"/>
    <w:rsid w:val="00A23611"/>
    <w:rsid w:val="00A2573E"/>
    <w:rsid w:val="00A41161"/>
    <w:rsid w:val="00A4177C"/>
    <w:rsid w:val="00A42C7F"/>
    <w:rsid w:val="00A444C6"/>
    <w:rsid w:val="00A51E16"/>
    <w:rsid w:val="00A53F91"/>
    <w:rsid w:val="00A54FDB"/>
    <w:rsid w:val="00A6256A"/>
    <w:rsid w:val="00A64492"/>
    <w:rsid w:val="00A64F13"/>
    <w:rsid w:val="00A66E80"/>
    <w:rsid w:val="00A70E4F"/>
    <w:rsid w:val="00A7381D"/>
    <w:rsid w:val="00A841BC"/>
    <w:rsid w:val="00A8493D"/>
    <w:rsid w:val="00A85FD3"/>
    <w:rsid w:val="00A93700"/>
    <w:rsid w:val="00A96438"/>
    <w:rsid w:val="00A9657F"/>
    <w:rsid w:val="00AA27E4"/>
    <w:rsid w:val="00AA2E06"/>
    <w:rsid w:val="00AB0A3A"/>
    <w:rsid w:val="00AC402D"/>
    <w:rsid w:val="00AE15E2"/>
    <w:rsid w:val="00AF24D2"/>
    <w:rsid w:val="00AF554C"/>
    <w:rsid w:val="00AF7342"/>
    <w:rsid w:val="00B014C1"/>
    <w:rsid w:val="00B12D76"/>
    <w:rsid w:val="00B1665C"/>
    <w:rsid w:val="00B17C68"/>
    <w:rsid w:val="00B3228E"/>
    <w:rsid w:val="00B32F18"/>
    <w:rsid w:val="00B42461"/>
    <w:rsid w:val="00B43C13"/>
    <w:rsid w:val="00B66D64"/>
    <w:rsid w:val="00B7153B"/>
    <w:rsid w:val="00B73856"/>
    <w:rsid w:val="00B77A67"/>
    <w:rsid w:val="00B80886"/>
    <w:rsid w:val="00B8196F"/>
    <w:rsid w:val="00B82D71"/>
    <w:rsid w:val="00B90CD9"/>
    <w:rsid w:val="00B91526"/>
    <w:rsid w:val="00B932F0"/>
    <w:rsid w:val="00B94B47"/>
    <w:rsid w:val="00BA0A90"/>
    <w:rsid w:val="00BC3EC1"/>
    <w:rsid w:val="00BC5E2C"/>
    <w:rsid w:val="00BD2FCE"/>
    <w:rsid w:val="00BE0D2A"/>
    <w:rsid w:val="00BE1938"/>
    <w:rsid w:val="00BF0F93"/>
    <w:rsid w:val="00BF3BC5"/>
    <w:rsid w:val="00C01DCF"/>
    <w:rsid w:val="00C05873"/>
    <w:rsid w:val="00C15012"/>
    <w:rsid w:val="00C24088"/>
    <w:rsid w:val="00C271EC"/>
    <w:rsid w:val="00C4022F"/>
    <w:rsid w:val="00C4242B"/>
    <w:rsid w:val="00C60AA8"/>
    <w:rsid w:val="00C65045"/>
    <w:rsid w:val="00C66C71"/>
    <w:rsid w:val="00C72533"/>
    <w:rsid w:val="00C77F4A"/>
    <w:rsid w:val="00C85B44"/>
    <w:rsid w:val="00C871BE"/>
    <w:rsid w:val="00C93838"/>
    <w:rsid w:val="00C97416"/>
    <w:rsid w:val="00CA10D2"/>
    <w:rsid w:val="00CB0A6E"/>
    <w:rsid w:val="00CC418B"/>
    <w:rsid w:val="00CC6122"/>
    <w:rsid w:val="00CC73EF"/>
    <w:rsid w:val="00CE0294"/>
    <w:rsid w:val="00CE676A"/>
    <w:rsid w:val="00CF1322"/>
    <w:rsid w:val="00CF5EF5"/>
    <w:rsid w:val="00D0332E"/>
    <w:rsid w:val="00D10585"/>
    <w:rsid w:val="00D123A4"/>
    <w:rsid w:val="00D13757"/>
    <w:rsid w:val="00D204A6"/>
    <w:rsid w:val="00D22D43"/>
    <w:rsid w:val="00D30605"/>
    <w:rsid w:val="00D3418B"/>
    <w:rsid w:val="00D36AA5"/>
    <w:rsid w:val="00D43C4F"/>
    <w:rsid w:val="00D453E2"/>
    <w:rsid w:val="00D56570"/>
    <w:rsid w:val="00D60B44"/>
    <w:rsid w:val="00D632F3"/>
    <w:rsid w:val="00D710B0"/>
    <w:rsid w:val="00D754A6"/>
    <w:rsid w:val="00D90023"/>
    <w:rsid w:val="00D958DD"/>
    <w:rsid w:val="00DA678E"/>
    <w:rsid w:val="00DA77A0"/>
    <w:rsid w:val="00DB1E2E"/>
    <w:rsid w:val="00DB54DB"/>
    <w:rsid w:val="00DB622F"/>
    <w:rsid w:val="00DC24EA"/>
    <w:rsid w:val="00DC37E6"/>
    <w:rsid w:val="00DE7321"/>
    <w:rsid w:val="00DF3133"/>
    <w:rsid w:val="00E06476"/>
    <w:rsid w:val="00E06E2E"/>
    <w:rsid w:val="00E07A54"/>
    <w:rsid w:val="00E37E75"/>
    <w:rsid w:val="00E431B4"/>
    <w:rsid w:val="00E4515A"/>
    <w:rsid w:val="00E470C5"/>
    <w:rsid w:val="00E51B31"/>
    <w:rsid w:val="00E536FF"/>
    <w:rsid w:val="00E643B8"/>
    <w:rsid w:val="00E65693"/>
    <w:rsid w:val="00E74B77"/>
    <w:rsid w:val="00E763D9"/>
    <w:rsid w:val="00E80833"/>
    <w:rsid w:val="00E80B63"/>
    <w:rsid w:val="00EA58C6"/>
    <w:rsid w:val="00EB2DA1"/>
    <w:rsid w:val="00EB2EC0"/>
    <w:rsid w:val="00EB352B"/>
    <w:rsid w:val="00EB435C"/>
    <w:rsid w:val="00EC4D3D"/>
    <w:rsid w:val="00ED6AE3"/>
    <w:rsid w:val="00EE7B9F"/>
    <w:rsid w:val="00EF478B"/>
    <w:rsid w:val="00F075EA"/>
    <w:rsid w:val="00F133CE"/>
    <w:rsid w:val="00F15C40"/>
    <w:rsid w:val="00F20BCF"/>
    <w:rsid w:val="00F20FD2"/>
    <w:rsid w:val="00F22252"/>
    <w:rsid w:val="00F324FF"/>
    <w:rsid w:val="00F33EE0"/>
    <w:rsid w:val="00F37D45"/>
    <w:rsid w:val="00F42980"/>
    <w:rsid w:val="00F44EEF"/>
    <w:rsid w:val="00F51BAA"/>
    <w:rsid w:val="00F530AA"/>
    <w:rsid w:val="00F747B9"/>
    <w:rsid w:val="00F76E70"/>
    <w:rsid w:val="00F86D3D"/>
    <w:rsid w:val="00F91F91"/>
    <w:rsid w:val="00F92EF8"/>
    <w:rsid w:val="00F9593B"/>
    <w:rsid w:val="00FA77BB"/>
    <w:rsid w:val="00FC1064"/>
    <w:rsid w:val="00FC3A4C"/>
    <w:rsid w:val="00FC4ECD"/>
    <w:rsid w:val="00FC6A07"/>
    <w:rsid w:val="00FD2257"/>
    <w:rsid w:val="00FD295D"/>
    <w:rsid w:val="00FD57B1"/>
    <w:rsid w:val="00FE36BB"/>
    <w:rsid w:val="00FF04C3"/>
    <w:rsid w:val="00FF6FAB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D2"/>
    <w:rPr>
      <w:rFonts w:ascii="Arial" w:hAnsi="Arial"/>
      <w:sz w:val="24"/>
      <w:szCs w:val="22"/>
    </w:rPr>
  </w:style>
  <w:style w:type="paragraph" w:styleId="Ttulo7">
    <w:name w:val="heading 7"/>
    <w:basedOn w:val="Normal"/>
    <w:next w:val="Normal"/>
    <w:link w:val="Ttulo7Char"/>
    <w:qFormat/>
    <w:rsid w:val="00DF3133"/>
    <w:pPr>
      <w:keepNext/>
      <w:jc w:val="both"/>
      <w:outlineLvl w:val="6"/>
    </w:pPr>
    <w:rPr>
      <w:rFonts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00AF2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rsid w:val="00AF24D2"/>
  </w:style>
  <w:style w:type="paragraph" w:styleId="Rodap">
    <w:name w:val="footer"/>
    <w:basedOn w:val="Normal"/>
    <w:semiHidden/>
    <w:unhideWhenUsed/>
    <w:rsid w:val="00AF2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AF24D2"/>
  </w:style>
  <w:style w:type="paragraph" w:styleId="Textodebalo">
    <w:name w:val="Balloon Text"/>
    <w:basedOn w:val="Normal"/>
    <w:semiHidden/>
    <w:unhideWhenUsed/>
    <w:rsid w:val="00AF24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AF24D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F24D2"/>
    <w:rPr>
      <w:rFonts w:ascii="Arial" w:hAnsi="Arial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rsid w:val="00AF24D2"/>
    <w:rPr>
      <w:rFonts w:ascii="Arial" w:hAnsi="Arial"/>
      <w:sz w:val="24"/>
      <w:szCs w:val="22"/>
      <w:lang w:val="pt-BR" w:eastAsia="en-US" w:bidi="ar-SA"/>
    </w:rPr>
  </w:style>
  <w:style w:type="character" w:styleId="Hyperlink">
    <w:name w:val="Hyperlink"/>
    <w:basedOn w:val="Fontepargpadro"/>
    <w:unhideWhenUsed/>
    <w:rsid w:val="00AF24D2"/>
    <w:rPr>
      <w:color w:val="0000FF"/>
      <w:u w:val="single"/>
    </w:rPr>
  </w:style>
  <w:style w:type="paragraph" w:customStyle="1" w:styleId="Default">
    <w:name w:val="Default"/>
    <w:rsid w:val="00AF2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5327A"/>
    <w:pPr>
      <w:ind w:left="708"/>
    </w:pPr>
  </w:style>
  <w:style w:type="character" w:customStyle="1" w:styleId="Ttulo7Char">
    <w:name w:val="Título 7 Char"/>
    <w:basedOn w:val="Fontepargpadro"/>
    <w:link w:val="Ttulo7"/>
    <w:rsid w:val="00DF3133"/>
    <w:rPr>
      <w:rFonts w:ascii="Arial" w:hAnsi="Arial" w:cs="Arial"/>
      <w:b/>
      <w:bCs/>
      <w:sz w:val="24"/>
    </w:rPr>
  </w:style>
  <w:style w:type="paragraph" w:customStyle="1" w:styleId="jgp">
    <w:name w:val="jgp"/>
    <w:basedOn w:val="Normal"/>
    <w:rsid w:val="00DF3133"/>
    <w:pPr>
      <w:keepLines/>
      <w:jc w:val="both"/>
    </w:pPr>
    <w:rPr>
      <w:rFonts w:ascii="Times New Roman" w:hAnsi="Times New Roman"/>
      <w:szCs w:val="20"/>
    </w:rPr>
  </w:style>
  <w:style w:type="paragraph" w:styleId="Corpodetexto2">
    <w:name w:val="Body Text 2"/>
    <w:basedOn w:val="Normal"/>
    <w:link w:val="Corpodetexto2Char"/>
    <w:rsid w:val="00DF3133"/>
    <w:pPr>
      <w:spacing w:after="120" w:line="480" w:lineRule="auto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F3133"/>
    <w:rPr>
      <w:rFonts w:ascii="Arial" w:hAnsi="Arial"/>
      <w:sz w:val="22"/>
    </w:rPr>
  </w:style>
  <w:style w:type="character" w:styleId="Forte">
    <w:name w:val="Strong"/>
    <w:basedOn w:val="Fontepargpadro"/>
    <w:uiPriority w:val="22"/>
    <w:qFormat/>
    <w:rsid w:val="00C65045"/>
    <w:rPr>
      <w:b/>
      <w:bCs/>
    </w:rPr>
  </w:style>
  <w:style w:type="paragraph" w:styleId="Recuodecorpodetexto3">
    <w:name w:val="Body Text Indent 3"/>
    <w:basedOn w:val="Normal"/>
    <w:link w:val="Recuodecorpodetexto3Char"/>
    <w:rsid w:val="000C2E28"/>
    <w:pPr>
      <w:spacing w:after="120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0C2E28"/>
    <w:rPr>
      <w:rFonts w:ascii="Times New Roman" w:hAnsi="Times New Roman"/>
      <w:sz w:val="16"/>
      <w:szCs w:val="16"/>
      <w:lang w:val="en-US"/>
    </w:rPr>
  </w:style>
  <w:style w:type="paragraph" w:customStyle="1" w:styleId="4Marcadores">
    <w:name w:val="4) Marcadores"/>
    <w:qFormat/>
    <w:rsid w:val="000C2E28"/>
    <w:pPr>
      <w:numPr>
        <w:numId w:val="9"/>
      </w:numPr>
      <w:spacing w:line="276" w:lineRule="auto"/>
      <w:jc w:val="both"/>
    </w:pPr>
    <w:rPr>
      <w:rFonts w:ascii="Arial" w:hAnsi="Arial" w:cs="Arial"/>
      <w:sz w:val="24"/>
      <w:szCs w:val="24"/>
    </w:rPr>
  </w:style>
  <w:style w:type="paragraph" w:customStyle="1" w:styleId="1CorpodeTexto">
    <w:name w:val="1) Corpo de Texto"/>
    <w:basedOn w:val="Cabealho"/>
    <w:qFormat/>
    <w:rsid w:val="00B17C68"/>
    <w:pPr>
      <w:tabs>
        <w:tab w:val="clear" w:pos="4252"/>
        <w:tab w:val="clear" w:pos="8504"/>
      </w:tabs>
      <w:spacing w:after="240" w:line="276" w:lineRule="auto"/>
      <w:jc w:val="both"/>
    </w:pPr>
    <w:rPr>
      <w:rFonts w:cs="Arial"/>
      <w:szCs w:val="24"/>
    </w:rPr>
  </w:style>
  <w:style w:type="character" w:customStyle="1" w:styleId="apple-converted-space">
    <w:name w:val="apple-converted-space"/>
    <w:basedOn w:val="Fontepargpadro"/>
    <w:rsid w:val="002E6D2E"/>
  </w:style>
  <w:style w:type="paragraph" w:styleId="NormalWeb">
    <w:name w:val="Normal (Web)"/>
    <w:basedOn w:val="Normal"/>
    <w:uiPriority w:val="99"/>
    <w:unhideWhenUsed/>
    <w:rsid w:val="001F18AD"/>
    <w:pPr>
      <w:textAlignment w:val="baseline"/>
    </w:pPr>
    <w:rPr>
      <w:rFonts w:ascii="inherit" w:hAnsi="inherit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FC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FCE"/>
    <w:rPr>
      <w:rFonts w:ascii="Arial" w:hAnsi="Arial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CE67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67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676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67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676A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27E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27E4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AA27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6B66-2A4D-45C1-80E9-1465A824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4970</Words>
  <Characters>26992</Characters>
  <Application>Microsoft Office Word</Application>
  <DocSecurity>0</DocSecurity>
  <Lines>562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CE-PR 000/0000</vt:lpstr>
    </vt:vector>
  </TitlesOfParts>
  <Company>Hewlett-Packard Company</Company>
  <LinksUpToDate>false</LinksUpToDate>
  <CharactersWithSpaces>31833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CE-PR 000/0000</dc:title>
  <dc:creator>Luis Henrique</dc:creator>
  <cp:lastModifiedBy>laurence.casagrande</cp:lastModifiedBy>
  <cp:revision>9</cp:revision>
  <cp:lastPrinted>2012-08-20T20:59:00Z</cp:lastPrinted>
  <dcterms:created xsi:type="dcterms:W3CDTF">2014-02-28T14:40:00Z</dcterms:created>
  <dcterms:modified xsi:type="dcterms:W3CDTF">2014-02-28T17:40:00Z</dcterms:modified>
</cp:coreProperties>
</file>