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66" w:rsidRPr="00D12A66" w:rsidRDefault="00D12A66" w:rsidP="00D12A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2A66">
        <w:rPr>
          <w:rFonts w:ascii="Arial" w:eastAsia="Times New Roman" w:hAnsi="Arial" w:cs="Arial"/>
          <w:b/>
          <w:sz w:val="24"/>
          <w:szCs w:val="24"/>
          <w:lang w:eastAsia="pt-BR"/>
        </w:rPr>
        <w:t>Relatório Descritivo categoria Inovação em Gestão Municipal</w:t>
      </w:r>
    </w:p>
    <w:p w:rsidR="00D12A66" w:rsidRDefault="00D12A66" w:rsidP="00D12A66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12A66" w:rsidRPr="00D12A66" w:rsidRDefault="00D12A66" w:rsidP="00D12A6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12A66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Identificação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              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b/>
          <w:bCs/>
          <w:sz w:val="24"/>
          <w:szCs w:val="24"/>
        </w:rPr>
        <w:t>Categoria:</w:t>
      </w:r>
      <w:r w:rsidRPr="00D12A66">
        <w:rPr>
          <w:rFonts w:ascii="Arial" w:hAnsi="Arial" w:cs="Arial"/>
          <w:sz w:val="24"/>
          <w:szCs w:val="24"/>
        </w:rPr>
        <w:t xml:space="preserve"> Inovação em Gestão Municipal.</w:t>
      </w:r>
    </w:p>
    <w:p w:rsidR="00D12A66" w:rsidRDefault="00D12A66" w:rsidP="00D12A66">
      <w:pPr>
        <w:rPr>
          <w:rFonts w:ascii="Arial" w:hAnsi="Arial" w:cs="Arial"/>
          <w:bCs/>
          <w:sz w:val="24"/>
          <w:szCs w:val="24"/>
        </w:rPr>
      </w:pPr>
      <w:r w:rsidRPr="00D12A66">
        <w:rPr>
          <w:rFonts w:ascii="Arial" w:hAnsi="Arial" w:cs="Arial"/>
          <w:b/>
          <w:bCs/>
          <w:sz w:val="24"/>
          <w:szCs w:val="24"/>
        </w:rPr>
        <w:t>Título da iniciativa: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12A66">
        <w:rPr>
          <w:rFonts w:ascii="Arial" w:hAnsi="Arial" w:cs="Arial"/>
          <w:sz w:val="24"/>
          <w:szCs w:val="24"/>
        </w:rPr>
        <w:t>Feira da Agricultura Familiar.</w:t>
      </w:r>
      <w:r w:rsidRPr="00D12A66">
        <w:rPr>
          <w:rFonts w:ascii="Arial" w:hAnsi="Arial" w:cs="Arial"/>
          <w:sz w:val="24"/>
          <w:szCs w:val="24"/>
        </w:rPr>
        <w:br/>
      </w:r>
      <w:r w:rsidRPr="00D12A66">
        <w:rPr>
          <w:rFonts w:ascii="Arial" w:hAnsi="Arial" w:cs="Arial"/>
          <w:b/>
          <w:bCs/>
          <w:sz w:val="24"/>
          <w:szCs w:val="24"/>
        </w:rPr>
        <w:t xml:space="preserve">Instituição: </w:t>
      </w:r>
      <w:r w:rsidRPr="00D12A66">
        <w:rPr>
          <w:rFonts w:ascii="Arial" w:hAnsi="Arial" w:cs="Arial"/>
          <w:bCs/>
          <w:sz w:val="24"/>
          <w:szCs w:val="24"/>
        </w:rPr>
        <w:t>Prefeitura Municipal de Itanhaém.</w:t>
      </w:r>
      <w:r w:rsidRPr="00D12A66">
        <w:rPr>
          <w:rFonts w:ascii="Arial" w:hAnsi="Arial" w:cs="Arial"/>
          <w:sz w:val="24"/>
          <w:szCs w:val="24"/>
        </w:rPr>
        <w:br/>
      </w:r>
      <w:r w:rsidRPr="00D12A66">
        <w:rPr>
          <w:rFonts w:ascii="Arial" w:hAnsi="Arial" w:cs="Arial"/>
          <w:b/>
          <w:bCs/>
          <w:sz w:val="24"/>
          <w:szCs w:val="24"/>
        </w:rPr>
        <w:t xml:space="preserve">Nome do responsável: </w:t>
      </w:r>
      <w:r w:rsidRPr="00D12A66">
        <w:rPr>
          <w:rFonts w:ascii="Arial" w:hAnsi="Arial" w:cs="Arial"/>
          <w:bCs/>
          <w:sz w:val="24"/>
          <w:szCs w:val="24"/>
        </w:rPr>
        <w:t>Prefeito Municipal Marco Aurélio Gomes dos Santos.</w:t>
      </w:r>
    </w:p>
    <w:p w:rsidR="00D12A66" w:rsidRPr="00D12A66" w:rsidRDefault="00D12A66" w:rsidP="00D12A66">
      <w:pPr>
        <w:jc w:val="both"/>
        <w:rPr>
          <w:rFonts w:ascii="Arial" w:hAnsi="Arial" w:cs="Arial"/>
          <w:bCs/>
          <w:sz w:val="24"/>
          <w:szCs w:val="24"/>
        </w:rPr>
      </w:pPr>
      <w:r w:rsidRPr="00D12A66">
        <w:rPr>
          <w:rFonts w:ascii="Arial" w:hAnsi="Arial" w:cs="Arial"/>
          <w:b/>
          <w:bCs/>
          <w:sz w:val="24"/>
          <w:szCs w:val="24"/>
        </w:rPr>
        <w:t xml:space="preserve">Nomes dos membros da equipe: </w:t>
      </w:r>
      <w:r w:rsidRPr="00D12A66">
        <w:rPr>
          <w:rFonts w:ascii="Arial" w:hAnsi="Arial" w:cs="Arial"/>
          <w:bCs/>
          <w:sz w:val="24"/>
          <w:szCs w:val="24"/>
        </w:rPr>
        <w:t xml:space="preserve">Luciana Freitas da Cunha Rodrigues, Fernanda Macedo Rodrigues, </w:t>
      </w:r>
      <w:proofErr w:type="spellStart"/>
      <w:r w:rsidRPr="00D12A66">
        <w:rPr>
          <w:rFonts w:ascii="Arial" w:hAnsi="Arial" w:cs="Arial"/>
          <w:bCs/>
          <w:sz w:val="24"/>
          <w:szCs w:val="24"/>
        </w:rPr>
        <w:t>Goher</w:t>
      </w:r>
      <w:proofErr w:type="spellEnd"/>
      <w:r w:rsidRPr="00D12A66">
        <w:rPr>
          <w:rFonts w:ascii="Arial" w:hAnsi="Arial" w:cs="Arial"/>
          <w:bCs/>
          <w:sz w:val="24"/>
          <w:szCs w:val="24"/>
        </w:rPr>
        <w:t xml:space="preserve"> Lima Gonzalez, </w:t>
      </w:r>
      <w:proofErr w:type="spellStart"/>
      <w:proofErr w:type="gramStart"/>
      <w:r w:rsidRPr="00D12A66">
        <w:rPr>
          <w:rFonts w:ascii="Arial" w:hAnsi="Arial" w:cs="Arial"/>
          <w:bCs/>
          <w:sz w:val="24"/>
          <w:szCs w:val="24"/>
        </w:rPr>
        <w:t>OdilCocozza</w:t>
      </w:r>
      <w:proofErr w:type="spellEnd"/>
      <w:proofErr w:type="gramEnd"/>
      <w:r w:rsidRPr="00D12A66">
        <w:rPr>
          <w:rFonts w:ascii="Arial" w:hAnsi="Arial" w:cs="Arial"/>
          <w:bCs/>
          <w:sz w:val="24"/>
          <w:szCs w:val="24"/>
        </w:rPr>
        <w:t xml:space="preserve"> Vasques Junior, Thiago de Oliveira Costa, Paulo Roberto </w:t>
      </w:r>
      <w:proofErr w:type="spellStart"/>
      <w:r w:rsidRPr="00D12A66">
        <w:rPr>
          <w:rFonts w:ascii="Arial" w:hAnsi="Arial" w:cs="Arial"/>
          <w:bCs/>
          <w:sz w:val="24"/>
          <w:szCs w:val="24"/>
        </w:rPr>
        <w:t>Pantel</w:t>
      </w:r>
      <w:proofErr w:type="spellEnd"/>
      <w:r w:rsidRPr="00D12A66">
        <w:rPr>
          <w:rFonts w:ascii="Arial" w:hAnsi="Arial" w:cs="Arial"/>
          <w:bCs/>
          <w:sz w:val="24"/>
          <w:szCs w:val="24"/>
        </w:rPr>
        <w:t>, Cleiton Valente Borges e Luciana Melo de Costa.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  <w:u w:val="single"/>
        </w:rPr>
      </w:pPr>
      <w:r w:rsidRPr="00D12A66">
        <w:rPr>
          <w:rFonts w:ascii="Arial" w:hAnsi="Arial" w:cs="Arial"/>
          <w:b/>
          <w:bCs/>
          <w:sz w:val="24"/>
          <w:szCs w:val="24"/>
          <w:u w:val="single"/>
        </w:rPr>
        <w:t xml:space="preserve">Problema enfrentado ou oportunidade percebida 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sz w:val="24"/>
          <w:szCs w:val="24"/>
        </w:rPr>
        <w:tab/>
        <w:t xml:space="preserve">No ano de 2005 a gestão Municipal iniciou um trabalho de recuperação do setor agrícola de Itanhaém. Com a estruturação do Departamento de Agricultura Municipal e os convênios SEIAA – Sistema Estadual Integrado de Agricultura e Abastecimento e o PEMBH – Programa Estadual de </w:t>
      </w:r>
      <w:proofErr w:type="spellStart"/>
      <w:r w:rsidRPr="00D12A66">
        <w:rPr>
          <w:rFonts w:ascii="Arial" w:hAnsi="Arial" w:cs="Arial"/>
          <w:sz w:val="24"/>
          <w:szCs w:val="24"/>
        </w:rPr>
        <w:t>Microbacias</w:t>
      </w:r>
      <w:proofErr w:type="spellEnd"/>
      <w:r w:rsidRPr="00D12A66">
        <w:rPr>
          <w:rFonts w:ascii="Arial" w:hAnsi="Arial" w:cs="Arial"/>
          <w:sz w:val="24"/>
          <w:szCs w:val="24"/>
        </w:rPr>
        <w:t xml:space="preserve"> Hidrográficas, ambos da Secretária Estadual de Agricultura e Abastecimento de São Paulo, deu-se o pontapé para revitalização da zona rural do Município. Com planejamento e ações, definiram-se estratégias de trabalho e um longo diagnóstico foi realizado e assim em 2006 é elaborado o Plano Municipal de Desenvolvimento Agropecuário – </w:t>
      </w:r>
      <w:proofErr w:type="gramStart"/>
      <w:r w:rsidRPr="00D12A66">
        <w:rPr>
          <w:rFonts w:ascii="Arial" w:hAnsi="Arial" w:cs="Arial"/>
          <w:sz w:val="24"/>
          <w:szCs w:val="24"/>
        </w:rPr>
        <w:t>2006-2009</w:t>
      </w:r>
      <w:r>
        <w:rPr>
          <w:rFonts w:ascii="Arial" w:hAnsi="Arial" w:cs="Arial"/>
          <w:sz w:val="24"/>
          <w:szCs w:val="24"/>
        </w:rPr>
        <w:t>,</w:t>
      </w:r>
      <w:r w:rsidRPr="00D12A66">
        <w:rPr>
          <w:rFonts w:ascii="Arial" w:hAnsi="Arial" w:cs="Arial"/>
          <w:sz w:val="24"/>
          <w:szCs w:val="24"/>
        </w:rPr>
        <w:t xml:space="preserve"> documento</w:t>
      </w:r>
      <w:proofErr w:type="gramEnd"/>
      <w:r w:rsidRPr="00D12A66">
        <w:rPr>
          <w:rFonts w:ascii="Arial" w:hAnsi="Arial" w:cs="Arial"/>
          <w:sz w:val="24"/>
          <w:szCs w:val="24"/>
        </w:rPr>
        <w:t xml:space="preserve"> responsável pelo norteamento das políticas públicas a serem desenvolvidas para o setor agrícola.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sz w:val="24"/>
          <w:szCs w:val="24"/>
        </w:rPr>
        <w:tab/>
        <w:t xml:space="preserve">Um dos entraves para o desenvolvimento do setor que o Plano apontava era a comercialização dos produtos da Agricultura Familiar. A participação do atravessador na cadeia de comercialização e o acesso restrito ao mercado consumidor eram sérias dificuldades para escoamento de sua produção e que acarretava muitas vezes a perda de seus produtos no campo ou a venda a preços mais baixos que o custo de produção. Aliado a essa problemática, a característica de uma monocultura de Banana em Itanhaém dificultava ainda mais o acesso </w:t>
      </w:r>
      <w:proofErr w:type="gramStart"/>
      <w:r w:rsidRPr="00D12A66">
        <w:rPr>
          <w:rFonts w:ascii="Arial" w:hAnsi="Arial" w:cs="Arial"/>
          <w:sz w:val="24"/>
          <w:szCs w:val="24"/>
        </w:rPr>
        <w:t>as</w:t>
      </w:r>
      <w:proofErr w:type="gramEnd"/>
      <w:r w:rsidRPr="00D12A66">
        <w:rPr>
          <w:rFonts w:ascii="Arial" w:hAnsi="Arial" w:cs="Arial"/>
          <w:sz w:val="24"/>
          <w:szCs w:val="24"/>
        </w:rPr>
        <w:t xml:space="preserve"> vendas, deixando o agricultor sempre preso a um único comprador que acabava determinando o preço de compra.</w:t>
      </w:r>
    </w:p>
    <w:p w:rsid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sz w:val="24"/>
          <w:szCs w:val="24"/>
        </w:rPr>
        <w:tab/>
        <w:t>Diante deste cenário, que apontava o declínio da produção rural,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D12A66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12A66">
        <w:rPr>
          <w:rFonts w:ascii="Arial" w:hAnsi="Arial" w:cs="Arial"/>
          <w:sz w:val="24"/>
          <w:szCs w:val="24"/>
        </w:rPr>
        <w:t>observamos um claro processo de  êxodo rural , direcionamos esforços para buscar oportunidades e projetos que pudessem enfrentar essa realidade e transformá-la de forma a contribuir para melhoria de renda no campo e reversão deste quadro sócio econômico, elegemos como público prioritário os agricultores familiares e pescadores artesanais, que apresentavam as mesmas dificuldades porém, com características e complexidades diferentes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  <w:u w:val="single"/>
        </w:rPr>
      </w:pPr>
      <w:r w:rsidRPr="00D12A66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Solução adotada 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sz w:val="24"/>
          <w:szCs w:val="24"/>
        </w:rPr>
        <w:tab/>
        <w:t>No Ano de 2008 com a implantação do PAA – Programa de Aquisição de Alimentos, uma parceria entre a Prefeitura Municipal de Itanhaém, através do Banco de Alimentos Municipal, e o Ministério do Desenvolvimento Social e Combate a Fome conseguimos o primeiro equipamento público de compra direta da Agricultura Familiar e Pesca Artesanal, o que nos possibilitou efetivarmos a prática das ações e apresentar aos agricultores e pescadores um modelo de compra com preço justo e que motivasse a diversificação da produção.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sz w:val="24"/>
          <w:szCs w:val="24"/>
        </w:rPr>
        <w:tab/>
        <w:t>Com PAA consolidado e com os agricultores e pescadores motivados a plantar e diversificar de forma significativa sua oferta de produtos surge à necessidade de escoarmos as sobras do campo. Agora o agricultor planta, vende seus produtos ao PAA e então precisaria de um espaço para vender suas sobras. Essa demanda, apontada no Plano Municipal de Desenvolvimento Rural Sustentável 2010-2013, aliada ao compromisso de incluirmos as mulheres como protagonistas no campo, bem como fortalecermos o orgulho caiçara e incentivarmos a prática de uma agricultura mais sustentável, nos direcionou a pensar, discutir com o setor, e criar um espaço para venda dos produtos agrícolas na cidade, onde as mulheres poderiam desenvolver suas habilidades culinárias.</w:t>
      </w:r>
    </w:p>
    <w:p w:rsidR="00D12A66" w:rsidRPr="00D12A66" w:rsidRDefault="00D12A66" w:rsidP="00D12A66">
      <w:pPr>
        <w:jc w:val="both"/>
        <w:rPr>
          <w:rFonts w:ascii="Arial" w:hAnsi="Arial" w:cs="Arial"/>
          <w:sz w:val="24"/>
          <w:szCs w:val="24"/>
        </w:rPr>
      </w:pPr>
      <w:r w:rsidRPr="00D12A66">
        <w:rPr>
          <w:rFonts w:ascii="Arial" w:hAnsi="Arial" w:cs="Arial"/>
          <w:b/>
          <w:bCs/>
          <w:sz w:val="24"/>
          <w:szCs w:val="24"/>
        </w:rPr>
        <w:tab/>
      </w:r>
      <w:r w:rsidRPr="00D12A66">
        <w:rPr>
          <w:rFonts w:ascii="Arial" w:hAnsi="Arial" w:cs="Arial"/>
          <w:bCs/>
          <w:sz w:val="24"/>
          <w:szCs w:val="24"/>
        </w:rPr>
        <w:t xml:space="preserve">Assim, através de um convênio com o Ministério do Desenvolvimento Social e Combate a Fome, é formatado, consolidado e viabilizado o Projeto Feiras Populares de Itanhaém que conceitualmente </w:t>
      </w:r>
      <w:r w:rsidRPr="00D12A66">
        <w:rPr>
          <w:rFonts w:ascii="Arial" w:hAnsi="Arial" w:cs="Arial"/>
          <w:sz w:val="24"/>
          <w:szCs w:val="24"/>
        </w:rPr>
        <w:t xml:space="preserve">visa </w:t>
      </w:r>
      <w:proofErr w:type="gramStart"/>
      <w:r w:rsidRPr="00D12A66">
        <w:rPr>
          <w:rFonts w:ascii="Arial" w:hAnsi="Arial" w:cs="Arial"/>
          <w:sz w:val="24"/>
          <w:szCs w:val="24"/>
        </w:rPr>
        <w:t>a</w:t>
      </w:r>
      <w:proofErr w:type="gramEnd"/>
      <w:r w:rsidRPr="00D12A66">
        <w:rPr>
          <w:rFonts w:ascii="Arial" w:hAnsi="Arial" w:cs="Arial"/>
          <w:sz w:val="24"/>
          <w:szCs w:val="24"/>
        </w:rPr>
        <w:t xml:space="preserve"> implantação e modernização de Feiras Livres para a comercialização da produção dos pequenos agricultores familiares, na perspectiva de que estes adquiram habilidade/competência para comercializar seus produtos, para com isso ganhem autonomia socioeconômica e contribuindo, complementarmente, para viabilizar as bases socioeconômicas da agricultura familiar. Nesse sentido potencializa-se a bagagem cultural das famílias-feirantes junto aos consumidores, via divulgação da diversidade de hábitos alimentares e dos benefícios dos produtos agroecológicos e orgânicos e; como resultado da natureza da atividade comercial promove-se à inclusão </w:t>
      </w:r>
      <w:r w:rsidR="001C53C8" w:rsidRPr="00D12A66">
        <w:rPr>
          <w:rFonts w:ascii="Arial" w:hAnsi="Arial" w:cs="Arial"/>
          <w:sz w:val="24"/>
          <w:szCs w:val="24"/>
        </w:rPr>
        <w:t>equitativa</w:t>
      </w:r>
      <w:r w:rsidRPr="00D12A66">
        <w:rPr>
          <w:rFonts w:ascii="Arial" w:hAnsi="Arial" w:cs="Arial"/>
          <w:sz w:val="24"/>
          <w:szCs w:val="24"/>
        </w:rPr>
        <w:t>, familiar e em termos de gênero, geração e etnia.</w:t>
      </w:r>
    </w:p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Aporte de Recursos</w:t>
      </w:r>
      <w:r w:rsidR="00484942" w:rsidRPr="00D12A66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12A66" w:rsidTr="00D12A66"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Federal</w:t>
            </w:r>
          </w:p>
        </w:tc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R$ 218.199,60</w:t>
            </w:r>
          </w:p>
        </w:tc>
        <w:tc>
          <w:tcPr>
            <w:tcW w:w="2882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Concedente - MDS</w:t>
            </w:r>
          </w:p>
        </w:tc>
      </w:tr>
      <w:tr w:rsidR="00D12A66" w:rsidTr="00D12A66"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12A66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12A66">
              <w:rPr>
                <w:rFonts w:ascii="Arial" w:hAnsi="Arial" w:cs="Arial"/>
                <w:sz w:val="24"/>
                <w:szCs w:val="24"/>
              </w:rPr>
              <w:t>19.800,00</w:t>
            </w:r>
          </w:p>
        </w:tc>
        <w:tc>
          <w:tcPr>
            <w:tcW w:w="2882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Convenente - PMI</w:t>
            </w:r>
          </w:p>
        </w:tc>
      </w:tr>
      <w:tr w:rsidR="00D12A66" w:rsidTr="00D12A66">
        <w:tc>
          <w:tcPr>
            <w:tcW w:w="2881" w:type="dxa"/>
          </w:tcPr>
          <w:p w:rsidR="00D12A66" w:rsidRDefault="00D12A66" w:rsidP="00D12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881" w:type="dxa"/>
          </w:tcPr>
          <w:p w:rsidR="00D12A66" w:rsidRDefault="00D12A66" w:rsidP="00D12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R$ 237.999,60</w:t>
            </w:r>
          </w:p>
        </w:tc>
        <w:tc>
          <w:tcPr>
            <w:tcW w:w="2882" w:type="dxa"/>
          </w:tcPr>
          <w:p w:rsidR="00D12A66" w:rsidRDefault="00D12A66" w:rsidP="00D12A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MDS + PMI</w:t>
            </w:r>
          </w:p>
        </w:tc>
      </w:tr>
    </w:tbl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</w:p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</w:p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</w:p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Aplicação</w:t>
      </w:r>
      <w:r w:rsidRPr="00D12A66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D12A66" w:rsidTr="00D12A66"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R$ 153.550,00</w:t>
            </w:r>
          </w:p>
        </w:tc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Material Permanente</w:t>
            </w:r>
          </w:p>
        </w:tc>
        <w:tc>
          <w:tcPr>
            <w:tcW w:w="2882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Aquisição de Barracas, balanças e seladoras.</w:t>
            </w:r>
          </w:p>
        </w:tc>
      </w:tr>
      <w:tr w:rsidR="00D12A66" w:rsidTr="00D12A66"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12A66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12A66">
              <w:rPr>
                <w:rFonts w:ascii="Arial" w:hAnsi="Arial" w:cs="Arial"/>
                <w:sz w:val="24"/>
                <w:szCs w:val="24"/>
              </w:rPr>
              <w:t>59.783,60</w:t>
            </w:r>
          </w:p>
        </w:tc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Material de Consumo</w:t>
            </w:r>
          </w:p>
        </w:tc>
        <w:tc>
          <w:tcPr>
            <w:tcW w:w="2882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Aquisição de Jalecos, Bonés, Calculadoras, Botas, Luvas, toucas, Caixas Plásticas e Lixeiras.</w:t>
            </w:r>
          </w:p>
        </w:tc>
      </w:tr>
      <w:tr w:rsidR="00D12A66" w:rsidTr="00D12A66"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R$</w:t>
            </w:r>
            <w:proofErr w:type="gramStart"/>
            <w:r w:rsidRPr="00D12A66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D12A66">
              <w:rPr>
                <w:rFonts w:ascii="Arial" w:hAnsi="Arial" w:cs="Arial"/>
                <w:sz w:val="24"/>
                <w:szCs w:val="24"/>
              </w:rPr>
              <w:t>24</w:t>
            </w:r>
            <w:r w:rsidRPr="00D12A66">
              <w:rPr>
                <w:rFonts w:ascii="Arial" w:hAnsi="Arial" w:cs="Arial"/>
                <w:sz w:val="24"/>
                <w:szCs w:val="24"/>
              </w:rPr>
              <w:t>.</w:t>
            </w:r>
            <w:r w:rsidRPr="00D12A66">
              <w:rPr>
                <w:rFonts w:ascii="Arial" w:hAnsi="Arial" w:cs="Arial"/>
                <w:sz w:val="24"/>
                <w:szCs w:val="24"/>
              </w:rPr>
              <w:t>666</w:t>
            </w:r>
            <w:r w:rsidRPr="00D12A66">
              <w:rPr>
                <w:rFonts w:ascii="Arial" w:hAnsi="Arial" w:cs="Arial"/>
                <w:sz w:val="24"/>
                <w:szCs w:val="24"/>
              </w:rPr>
              <w:t>,</w:t>
            </w:r>
            <w:r w:rsidRPr="00D12A66">
              <w:rPr>
                <w:rFonts w:ascii="Arial" w:hAnsi="Arial" w:cs="Arial"/>
                <w:sz w:val="24"/>
                <w:szCs w:val="24"/>
              </w:rPr>
              <w:t>0</w:t>
            </w:r>
            <w:r w:rsidRPr="00D12A6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1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Capacitação</w:t>
            </w:r>
          </w:p>
        </w:tc>
        <w:tc>
          <w:tcPr>
            <w:tcW w:w="2882" w:type="dxa"/>
          </w:tcPr>
          <w:p w:rsidR="00D12A66" w:rsidRPr="00D12A66" w:rsidRDefault="00D12A66" w:rsidP="00D12A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2A66">
              <w:rPr>
                <w:rFonts w:ascii="Arial" w:hAnsi="Arial" w:cs="Arial"/>
                <w:sz w:val="24"/>
                <w:szCs w:val="24"/>
              </w:rPr>
              <w:t>Cursos de Agricultura Orgânica e Natural.</w:t>
            </w:r>
          </w:p>
        </w:tc>
      </w:tr>
    </w:tbl>
    <w:p w:rsidR="00D12A66" w:rsidRDefault="00D12A66" w:rsidP="00D12A66">
      <w:pPr>
        <w:rPr>
          <w:rFonts w:ascii="Arial" w:hAnsi="Arial" w:cs="Arial"/>
          <w:b/>
          <w:sz w:val="24"/>
          <w:szCs w:val="24"/>
        </w:rPr>
      </w:pPr>
    </w:p>
    <w:p w:rsidR="00D12A66" w:rsidRDefault="00D12A66" w:rsidP="001C53C8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12A66">
        <w:rPr>
          <w:rFonts w:ascii="Arial" w:hAnsi="Arial" w:cs="Arial"/>
          <w:bCs/>
          <w:sz w:val="24"/>
          <w:szCs w:val="24"/>
        </w:rPr>
        <w:t>Alinharam-se a proposta e seu desenvolvimento</w:t>
      </w:r>
      <w:r>
        <w:rPr>
          <w:rFonts w:ascii="Arial" w:hAnsi="Arial" w:cs="Arial"/>
          <w:bCs/>
          <w:sz w:val="24"/>
          <w:szCs w:val="24"/>
        </w:rPr>
        <w:t>:</w:t>
      </w:r>
    </w:p>
    <w:p w:rsidR="00D12A66" w:rsidRPr="00D12A66" w:rsidRDefault="00D12A66" w:rsidP="00D12A6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Institucional: </w:t>
      </w:r>
      <w:r w:rsidRPr="00D12A66">
        <w:rPr>
          <w:rFonts w:ascii="Arial" w:hAnsi="Arial" w:cs="Arial"/>
          <w:bCs/>
          <w:sz w:val="24"/>
          <w:szCs w:val="24"/>
        </w:rPr>
        <w:t>CATI - Coordenadoria de Assistência Técnica Integral: Órgão da Secretaria de Agricultura e Abastecimento do Estado de São Paulo</w:t>
      </w:r>
      <w:proofErr w:type="gramStart"/>
      <w:r w:rsidRPr="00D12A66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colabora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 w:rsidRPr="00D12A66">
        <w:rPr>
          <w:rFonts w:ascii="Arial" w:hAnsi="Arial" w:cs="Arial"/>
          <w:bCs/>
          <w:sz w:val="24"/>
          <w:szCs w:val="24"/>
        </w:rPr>
        <w:t>diretamente com o processo de aperfeiçoamento</w:t>
      </w:r>
      <w:r>
        <w:rPr>
          <w:rFonts w:ascii="Arial" w:hAnsi="Arial" w:cs="Arial"/>
          <w:bCs/>
          <w:sz w:val="24"/>
          <w:szCs w:val="24"/>
        </w:rPr>
        <w:t xml:space="preserve"> e reciclagem dos agricultores </w:t>
      </w:r>
      <w:r w:rsidRPr="00D12A66">
        <w:rPr>
          <w:rFonts w:ascii="Arial" w:hAnsi="Arial" w:cs="Arial"/>
          <w:bCs/>
          <w:sz w:val="24"/>
          <w:szCs w:val="24"/>
        </w:rPr>
        <w:t>realizando anualmente os cursos conforme demanda, No ano de 2013 quatro cursos foram realizados junto aos agricultores,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12A66">
        <w:rPr>
          <w:rFonts w:ascii="Arial" w:hAnsi="Arial" w:cs="Arial"/>
          <w:bCs/>
          <w:sz w:val="24"/>
          <w:szCs w:val="24"/>
        </w:rPr>
        <w:t>desde técnicas de agricultura natural até processamento de conservas e compotas.</w:t>
      </w:r>
    </w:p>
    <w:p w:rsidR="00D12A66" w:rsidRPr="00D12A66" w:rsidRDefault="00D12A66" w:rsidP="00D12A66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Associações e Conselhos</w:t>
      </w:r>
      <w:r w:rsidRPr="00D12A66">
        <w:rPr>
          <w:rFonts w:ascii="Arial" w:hAnsi="Arial" w:cs="Arial"/>
          <w:bCs/>
          <w:sz w:val="24"/>
          <w:szCs w:val="24"/>
        </w:rPr>
        <w:t xml:space="preserve">: Toda a construção do projeto se deu de forma participativa junto a Associação dos Produtores Rurais da </w:t>
      </w:r>
      <w:proofErr w:type="spellStart"/>
      <w:r w:rsidRPr="00D12A66">
        <w:rPr>
          <w:rFonts w:ascii="Arial" w:hAnsi="Arial" w:cs="Arial"/>
          <w:bCs/>
          <w:sz w:val="24"/>
          <w:szCs w:val="24"/>
        </w:rPr>
        <w:t>Microbacia</w:t>
      </w:r>
      <w:proofErr w:type="spellEnd"/>
      <w:r w:rsidRPr="00D12A66">
        <w:rPr>
          <w:rFonts w:ascii="Arial" w:hAnsi="Arial" w:cs="Arial"/>
          <w:bCs/>
          <w:sz w:val="24"/>
          <w:szCs w:val="24"/>
        </w:rPr>
        <w:t xml:space="preserve"> Hidrográfica do Rio Branco – AMIBRA, ao Conselho Municipal de Desenvolvimento Rural e todos os setores envolvidos ou impactados pelo projeto.</w:t>
      </w:r>
    </w:p>
    <w:p w:rsidR="001C53C8" w:rsidRPr="001C53C8" w:rsidRDefault="001C53C8" w:rsidP="001C53C8">
      <w:pPr>
        <w:rPr>
          <w:rFonts w:ascii="Arial" w:hAnsi="Arial" w:cs="Arial"/>
          <w:sz w:val="24"/>
          <w:szCs w:val="24"/>
          <w:u w:val="single"/>
        </w:rPr>
      </w:pPr>
      <w:r w:rsidRPr="001C53C8">
        <w:rPr>
          <w:rFonts w:ascii="Arial" w:hAnsi="Arial" w:cs="Arial"/>
          <w:b/>
          <w:bCs/>
          <w:sz w:val="24"/>
          <w:szCs w:val="24"/>
          <w:u w:val="single"/>
        </w:rPr>
        <w:t xml:space="preserve">Características da iniciativa </w:t>
      </w:r>
    </w:p>
    <w:p w:rsidR="001C53C8" w:rsidRPr="001C53C8" w:rsidRDefault="001C53C8" w:rsidP="001C53C8">
      <w:pPr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b/>
          <w:bCs/>
          <w:sz w:val="24"/>
          <w:szCs w:val="24"/>
        </w:rPr>
        <w:t xml:space="preserve">Inovação </w:t>
      </w:r>
      <w:r w:rsidRPr="001C53C8">
        <w:rPr>
          <w:rFonts w:ascii="Arial" w:hAnsi="Arial" w:cs="Arial"/>
          <w:sz w:val="24"/>
          <w:szCs w:val="24"/>
        </w:rPr>
        <w:t>– O conceito de produção para comercialização direta enseja uma alusão direta à coibição de atravessadores.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O grande mérito inovador consiste em retomar o crescimento através da agricultura e pesca de forma digna e direta.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Além disso, a característica da operacionalização</w:t>
      </w:r>
      <w:proofErr w:type="gramStart"/>
      <w:r w:rsidRPr="001C53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permitiu</w:t>
      </w:r>
      <w:proofErr w:type="gramEnd"/>
      <w:r w:rsidRPr="001C53C8">
        <w:rPr>
          <w:rFonts w:ascii="Arial" w:hAnsi="Arial" w:cs="Arial"/>
          <w:sz w:val="24"/>
          <w:szCs w:val="24"/>
        </w:rPr>
        <w:t xml:space="preserve"> implantar pequenos polos em “pontos cegos” de abastecimento,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fazendo com que o Projeto também pudesse contribuir para a segurança alimentar em locais de difícil acesso para a população mais vulnerável, como os ribeirinhos,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 xml:space="preserve">assentados, e regiões </w:t>
      </w:r>
      <w:proofErr w:type="spellStart"/>
      <w:r w:rsidRPr="001C53C8">
        <w:rPr>
          <w:rFonts w:ascii="Arial" w:hAnsi="Arial" w:cs="Arial"/>
          <w:sz w:val="24"/>
          <w:szCs w:val="24"/>
        </w:rPr>
        <w:t>periurbanas</w:t>
      </w:r>
      <w:proofErr w:type="spellEnd"/>
      <w:r w:rsidRPr="001C53C8">
        <w:rPr>
          <w:rFonts w:ascii="Arial" w:hAnsi="Arial" w:cs="Arial"/>
          <w:sz w:val="24"/>
          <w:szCs w:val="24"/>
        </w:rPr>
        <w:t xml:space="preserve"> sem malha viária, além dos pontos nas praias,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exclusivos para pescadores artesanais que mudaram para melhor seus pontos de venda com despesca e oferta mais adequada..</w:t>
      </w:r>
    </w:p>
    <w:p w:rsidR="001C53C8" w:rsidRPr="001C53C8" w:rsidRDefault="001C53C8" w:rsidP="001C53C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sz w:val="24"/>
          <w:szCs w:val="24"/>
        </w:rPr>
        <w:t xml:space="preserve">Concomitante com a retomada do setor, o grupo de produtores conseguiu aliar as tecnologias da informática, e produziram um BLOG e um Perfil de </w:t>
      </w:r>
      <w:proofErr w:type="spellStart"/>
      <w:r w:rsidRPr="001C53C8">
        <w:rPr>
          <w:rFonts w:ascii="Arial" w:hAnsi="Arial" w:cs="Arial"/>
          <w:sz w:val="24"/>
          <w:szCs w:val="24"/>
        </w:rPr>
        <w:t>Facebook</w:t>
      </w:r>
      <w:proofErr w:type="spellEnd"/>
      <w:r w:rsidRPr="001C53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com os quais prestam um interessante serviço de informação nutricional,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além de conseguirem abrir uma via</w:t>
      </w:r>
      <w:proofErr w:type="gramStart"/>
      <w:r w:rsidRPr="001C53C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C53C8">
        <w:rPr>
          <w:rFonts w:ascii="Arial" w:hAnsi="Arial" w:cs="Arial"/>
          <w:sz w:val="24"/>
          <w:szCs w:val="24"/>
        </w:rPr>
        <w:t>de compra  pela internet que cresce exponencialmente.</w:t>
      </w:r>
    </w:p>
    <w:p w:rsidR="001C53C8" w:rsidRPr="001C53C8" w:rsidRDefault="001C53C8" w:rsidP="001C53C8">
      <w:pPr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sz w:val="24"/>
          <w:szCs w:val="24"/>
        </w:rPr>
        <w:lastRenderedPageBreak/>
        <w:t xml:space="preserve">Endereços </w:t>
      </w:r>
      <w:proofErr w:type="gramStart"/>
      <w:r w:rsidRPr="001C53C8">
        <w:rPr>
          <w:rFonts w:ascii="Arial" w:hAnsi="Arial" w:cs="Arial"/>
          <w:sz w:val="24"/>
          <w:szCs w:val="24"/>
        </w:rPr>
        <w:t>eletrônicos :</w:t>
      </w:r>
      <w:proofErr w:type="gramEnd"/>
      <w:r w:rsidRPr="001C53C8">
        <w:rPr>
          <w:rFonts w:ascii="Arial" w:hAnsi="Arial" w:cs="Arial"/>
          <w:sz w:val="24"/>
          <w:szCs w:val="24"/>
        </w:rPr>
        <w:t xml:space="preserve"> http://pricomini.wix.com/feirapopularitanhaem; https://www.facebook.com/feiraagricola.itanhaem</w:t>
      </w:r>
    </w:p>
    <w:p w:rsidR="001C53C8" w:rsidRPr="001C53C8" w:rsidRDefault="001C53C8" w:rsidP="001C53C8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1C53C8">
        <w:rPr>
          <w:rFonts w:ascii="Arial" w:hAnsi="Arial" w:cs="Arial"/>
          <w:b/>
          <w:bCs/>
          <w:sz w:val="24"/>
          <w:szCs w:val="24"/>
        </w:rPr>
        <w:t>Replicabilidade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– </w:t>
      </w:r>
      <w:r w:rsidRPr="001C53C8">
        <w:rPr>
          <w:rFonts w:ascii="Arial" w:hAnsi="Arial" w:cs="Arial"/>
          <w:sz w:val="24"/>
          <w:szCs w:val="24"/>
        </w:rPr>
        <w:t>O Projeto hoje tem resultados concretos no que concerne ao novo desenho produtivo da zona rural de Itanhaém,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reinserção social destes cidadãos de direitos,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valorização da cultura agrícola e gastronômica local,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 xml:space="preserve">difusão regional e nacional </w:t>
      </w:r>
      <w:r>
        <w:rPr>
          <w:rFonts w:ascii="Arial" w:hAnsi="Arial" w:cs="Arial"/>
          <w:sz w:val="24"/>
          <w:szCs w:val="24"/>
        </w:rPr>
        <w:t>da produção e culinária caiçara.</w:t>
      </w:r>
      <w:r w:rsidRPr="001C53C8">
        <w:rPr>
          <w:rFonts w:ascii="Arial" w:hAnsi="Arial" w:cs="Arial"/>
          <w:sz w:val="24"/>
          <w:szCs w:val="24"/>
        </w:rPr>
        <w:t xml:space="preserve"> Somos,</w:t>
      </w:r>
      <w:r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também, visitados por outros municípios para conhecer a t</w:t>
      </w:r>
      <w:r>
        <w:rPr>
          <w:rFonts w:ascii="Arial" w:hAnsi="Arial" w:cs="Arial"/>
          <w:sz w:val="24"/>
          <w:szCs w:val="24"/>
        </w:rPr>
        <w:t xml:space="preserve">ecnologia social deste Projeto, </w:t>
      </w:r>
      <w:r w:rsidRPr="001C53C8">
        <w:rPr>
          <w:rFonts w:ascii="Arial" w:hAnsi="Arial" w:cs="Arial"/>
          <w:sz w:val="24"/>
          <w:szCs w:val="24"/>
        </w:rPr>
        <w:t>indicados pelo Ministério de Desenvolvimento Social e Combate a Fome (SESAN) como referência de modelo de sucesso.</w:t>
      </w:r>
    </w:p>
    <w:p w:rsidR="001C53C8" w:rsidRDefault="001C53C8" w:rsidP="001C53C8">
      <w:pPr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b/>
          <w:bCs/>
          <w:sz w:val="24"/>
          <w:szCs w:val="24"/>
        </w:rPr>
        <w:t xml:space="preserve">Relevância </w:t>
      </w:r>
      <w:r w:rsidRPr="001C53C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A implantação da Feira no estacionamento do Paço Municipal, localizado no Centro da cidade, trouxe visibilidade para Feira que permitiu sustentabilidade da mesma até que um conceito sobre o Projeto fosse formado e incorporado aos hábitos dos Munícipes e turistas de Itanhaém. </w:t>
      </w:r>
    </w:p>
    <w:p w:rsidR="001C53C8" w:rsidRDefault="001C53C8" w:rsidP="001C5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diversificação da produção </w:t>
      </w:r>
      <w:proofErr w:type="gramStart"/>
      <w:r>
        <w:rPr>
          <w:rFonts w:ascii="Arial" w:hAnsi="Arial" w:cs="Arial"/>
          <w:sz w:val="24"/>
          <w:szCs w:val="24"/>
        </w:rPr>
        <w:t>teve ganhos</w:t>
      </w:r>
      <w:proofErr w:type="gramEnd"/>
      <w:r>
        <w:rPr>
          <w:rFonts w:ascii="Arial" w:hAnsi="Arial" w:cs="Arial"/>
          <w:sz w:val="24"/>
          <w:szCs w:val="24"/>
        </w:rPr>
        <w:t xml:space="preserve"> enorme no rendimento dos produtores, a medida que proporcionou aos mesmos pouco dependência de uma determinada cultura minimizando os impactos que as safras causam na cadeia produtiva agrícola.</w:t>
      </w:r>
    </w:p>
    <w:p w:rsidR="001C53C8" w:rsidRDefault="001C53C8" w:rsidP="001C5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adoção de práticas naturais e orgânicas no cultivo dos produtos trouxe um ganho de agregação de valor aos hortifrútis e, ao mesmo tempo, garante o acesso da população a alimentos de qualidade combatendo diretamente a Insegurança Alimentar e Nutricional no que diz respeito ao acesso ao alimento saudável.</w:t>
      </w:r>
    </w:p>
    <w:p w:rsidR="001C53C8" w:rsidRDefault="001C53C8" w:rsidP="001C5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incorporação das mulheres ao projeto trouxe grandes avanços nas relações familiares no campo, lhes garantiu independência e proporcionou a mulher um papel de protagonismo na vida rural. O </w:t>
      </w:r>
      <w:proofErr w:type="spellStart"/>
      <w:r>
        <w:rPr>
          <w:rFonts w:ascii="Arial" w:hAnsi="Arial" w:cs="Arial"/>
          <w:sz w:val="24"/>
          <w:szCs w:val="24"/>
        </w:rPr>
        <w:t>empoderamento</w:t>
      </w:r>
      <w:proofErr w:type="spellEnd"/>
      <w:r>
        <w:rPr>
          <w:rFonts w:ascii="Arial" w:hAnsi="Arial" w:cs="Arial"/>
          <w:sz w:val="24"/>
          <w:szCs w:val="24"/>
        </w:rPr>
        <w:t xml:space="preserve"> das agricultoras foi tão forte que culminou no lançamento de um livro com suas receitas com tiragem de 3.000 exemplares.</w:t>
      </w:r>
    </w:p>
    <w:p w:rsidR="00DD193A" w:rsidRDefault="00DD193A" w:rsidP="001C53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aproximação do público beneficiário do Poder Público, permitiu aos servidores um olhar mais humanizado no atendimento </w:t>
      </w:r>
      <w:proofErr w:type="gramStart"/>
      <w:r>
        <w:rPr>
          <w:rFonts w:ascii="Arial" w:hAnsi="Arial" w:cs="Arial"/>
          <w:sz w:val="24"/>
          <w:szCs w:val="24"/>
        </w:rPr>
        <w:t>ao cidadãos</w:t>
      </w:r>
      <w:proofErr w:type="gramEnd"/>
      <w:r>
        <w:rPr>
          <w:rFonts w:ascii="Arial" w:hAnsi="Arial" w:cs="Arial"/>
          <w:sz w:val="24"/>
          <w:szCs w:val="24"/>
        </w:rPr>
        <w:t xml:space="preserve"> e uma sensibilidade no trato com os agricultores culminando em uma parceria que se transforma diariamente e uma grande relação de amizade.</w:t>
      </w:r>
    </w:p>
    <w:p w:rsidR="001C53C8" w:rsidRPr="003A149C" w:rsidRDefault="001C53C8" w:rsidP="003A149C">
      <w:pPr>
        <w:jc w:val="both"/>
        <w:rPr>
          <w:rFonts w:ascii="Arial" w:hAnsi="Arial" w:cs="Arial"/>
          <w:bCs/>
          <w:sz w:val="24"/>
          <w:szCs w:val="24"/>
        </w:rPr>
      </w:pPr>
      <w:r w:rsidRPr="001C53C8">
        <w:rPr>
          <w:rFonts w:ascii="Arial" w:hAnsi="Arial" w:cs="Arial"/>
          <w:b/>
          <w:bCs/>
          <w:sz w:val="24"/>
          <w:szCs w:val="24"/>
        </w:rPr>
        <w:t xml:space="preserve">Eficiência na </w:t>
      </w:r>
      <w:proofErr w:type="gramStart"/>
      <w:r w:rsidRPr="001C53C8">
        <w:rPr>
          <w:rFonts w:ascii="Arial" w:hAnsi="Arial" w:cs="Arial"/>
          <w:b/>
          <w:bCs/>
          <w:sz w:val="24"/>
          <w:szCs w:val="24"/>
        </w:rPr>
        <w:t>implementação</w:t>
      </w:r>
      <w:proofErr w:type="gramEnd"/>
      <w:r w:rsidRPr="001C53C8">
        <w:rPr>
          <w:rFonts w:ascii="Arial" w:hAnsi="Arial" w:cs="Arial"/>
          <w:b/>
          <w:bCs/>
          <w:sz w:val="24"/>
          <w:szCs w:val="24"/>
        </w:rPr>
        <w:t xml:space="preserve"> de políticas, pro</w:t>
      </w:r>
      <w:r w:rsidR="003A149C">
        <w:rPr>
          <w:rFonts w:ascii="Arial" w:hAnsi="Arial" w:cs="Arial"/>
          <w:b/>
          <w:bCs/>
          <w:sz w:val="24"/>
          <w:szCs w:val="24"/>
        </w:rPr>
        <w:t>gramas e projetos</w:t>
      </w:r>
      <w:r w:rsidR="003A149C">
        <w:rPr>
          <w:rFonts w:ascii="Arial" w:hAnsi="Arial" w:cs="Arial"/>
          <w:bCs/>
          <w:sz w:val="24"/>
          <w:szCs w:val="24"/>
        </w:rPr>
        <w:t xml:space="preserve"> – </w:t>
      </w:r>
      <w:r w:rsidRPr="001C53C8">
        <w:rPr>
          <w:rFonts w:ascii="Arial" w:hAnsi="Arial" w:cs="Arial"/>
          <w:sz w:val="24"/>
          <w:szCs w:val="24"/>
        </w:rPr>
        <w:t xml:space="preserve">Para garantir a sustentabilidade da iniciativa algumas estratégias foram adotadas: </w:t>
      </w:r>
    </w:p>
    <w:p w:rsidR="001C53C8" w:rsidRPr="001C53C8" w:rsidRDefault="001C53C8" w:rsidP="00DD193A">
      <w:pPr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sz w:val="24"/>
          <w:szCs w:val="24"/>
        </w:rPr>
        <w:t>- Amparo Legal: Elaboração de Minuta de Lei de Implantação da Feira da Agricultura Familiar, encaminhado à Assessoria Legislativa do Executivo Municipal.</w:t>
      </w:r>
    </w:p>
    <w:p w:rsidR="001C53C8" w:rsidRPr="001C53C8" w:rsidRDefault="001C53C8" w:rsidP="00DD193A">
      <w:pPr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sz w:val="24"/>
          <w:szCs w:val="24"/>
        </w:rPr>
        <w:t>- Grupo Gestor: foram eleitos representes entre seus pares para assumir a gestão compartilhada junto aos setores responsáveis</w:t>
      </w:r>
      <w:proofErr w:type="gramStart"/>
      <w:r w:rsidRPr="001C53C8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1C53C8">
        <w:rPr>
          <w:rFonts w:ascii="Arial" w:hAnsi="Arial" w:cs="Arial"/>
          <w:sz w:val="24"/>
          <w:szCs w:val="24"/>
        </w:rPr>
        <w:t>da Prefeitura,</w:t>
      </w:r>
      <w:r w:rsidR="00DD193A"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 xml:space="preserve">com o </w:t>
      </w:r>
      <w:r w:rsidRPr="001C53C8">
        <w:rPr>
          <w:rFonts w:ascii="Arial" w:hAnsi="Arial" w:cs="Arial"/>
          <w:sz w:val="24"/>
          <w:szCs w:val="24"/>
        </w:rPr>
        <w:lastRenderedPageBreak/>
        <w:t xml:space="preserve">intuito </w:t>
      </w:r>
      <w:r w:rsidR="00DD193A">
        <w:rPr>
          <w:rFonts w:ascii="Arial" w:hAnsi="Arial" w:cs="Arial"/>
          <w:sz w:val="24"/>
          <w:szCs w:val="24"/>
        </w:rPr>
        <w:t xml:space="preserve">de </w:t>
      </w:r>
      <w:r w:rsidRPr="001C53C8">
        <w:rPr>
          <w:rFonts w:ascii="Arial" w:hAnsi="Arial" w:cs="Arial"/>
          <w:sz w:val="24"/>
          <w:szCs w:val="24"/>
        </w:rPr>
        <w:t xml:space="preserve">favorecer e garantir o </w:t>
      </w:r>
      <w:proofErr w:type="spellStart"/>
      <w:r w:rsidRPr="001C53C8">
        <w:rPr>
          <w:rFonts w:ascii="Arial" w:hAnsi="Arial" w:cs="Arial"/>
          <w:sz w:val="24"/>
          <w:szCs w:val="24"/>
        </w:rPr>
        <w:t>empoderamento</w:t>
      </w:r>
      <w:proofErr w:type="spellEnd"/>
      <w:r w:rsidRPr="001C53C8">
        <w:rPr>
          <w:rFonts w:ascii="Arial" w:hAnsi="Arial" w:cs="Arial"/>
          <w:sz w:val="24"/>
          <w:szCs w:val="24"/>
        </w:rPr>
        <w:t xml:space="preserve"> dos protagonistas do Feiras, tornando-os gestores coletivos da iniciativa</w:t>
      </w:r>
      <w:r w:rsidR="00DD193A">
        <w:rPr>
          <w:rFonts w:ascii="Arial" w:hAnsi="Arial" w:cs="Arial"/>
          <w:sz w:val="24"/>
          <w:szCs w:val="24"/>
        </w:rPr>
        <w:t>.</w:t>
      </w:r>
      <w:r w:rsidRPr="001C53C8">
        <w:rPr>
          <w:rFonts w:ascii="Arial" w:hAnsi="Arial" w:cs="Arial"/>
          <w:sz w:val="24"/>
          <w:szCs w:val="24"/>
        </w:rPr>
        <w:t xml:space="preserve"> </w:t>
      </w:r>
    </w:p>
    <w:p w:rsidR="001C53C8" w:rsidRDefault="001C53C8" w:rsidP="00DD193A">
      <w:pPr>
        <w:jc w:val="both"/>
        <w:rPr>
          <w:rFonts w:ascii="Arial" w:hAnsi="Arial" w:cs="Arial"/>
          <w:sz w:val="24"/>
          <w:szCs w:val="24"/>
        </w:rPr>
      </w:pPr>
      <w:r w:rsidRPr="001C53C8">
        <w:rPr>
          <w:rFonts w:ascii="Arial" w:hAnsi="Arial" w:cs="Arial"/>
          <w:sz w:val="24"/>
          <w:szCs w:val="24"/>
        </w:rPr>
        <w:t>- Monitoramento: Medição de vetores eleitos para registro de efetividade do Projeto: Volume de Vendas da Feira Popular, Propriedades Rurais que Exercem Técnicas Agrícolas Naturais,</w:t>
      </w:r>
      <w:r w:rsidR="00DD193A">
        <w:rPr>
          <w:rFonts w:ascii="Arial" w:hAnsi="Arial" w:cs="Arial"/>
          <w:sz w:val="24"/>
          <w:szCs w:val="24"/>
        </w:rPr>
        <w:t xml:space="preserve"> </w:t>
      </w:r>
      <w:r w:rsidRPr="001C53C8">
        <w:rPr>
          <w:rFonts w:ascii="Arial" w:hAnsi="Arial" w:cs="Arial"/>
          <w:sz w:val="24"/>
          <w:szCs w:val="24"/>
        </w:rPr>
        <w:t>Diversificação da Produção da Agricultura Familiar de Itanhaém</w:t>
      </w:r>
      <w:r w:rsidR="006B1A6A">
        <w:rPr>
          <w:rFonts w:ascii="Arial" w:hAnsi="Arial" w:cs="Arial"/>
          <w:sz w:val="24"/>
          <w:szCs w:val="24"/>
        </w:rPr>
        <w:t>.</w:t>
      </w:r>
    </w:p>
    <w:p w:rsidR="006B1A6A" w:rsidRPr="003A149C" w:rsidRDefault="003A149C" w:rsidP="006B1A6A">
      <w:pPr>
        <w:jc w:val="center"/>
        <w:rPr>
          <w:rFonts w:ascii="Arial" w:hAnsi="Arial" w:cs="Arial"/>
          <w:b/>
          <w:sz w:val="24"/>
          <w:szCs w:val="24"/>
        </w:rPr>
      </w:pPr>
      <w:r w:rsidRPr="003A149C">
        <w:rPr>
          <w:rFonts w:ascii="Arial" w:hAnsi="Arial" w:cs="Arial"/>
          <w:b/>
          <w:sz w:val="24"/>
          <w:szCs w:val="24"/>
        </w:rPr>
        <w:t xml:space="preserve">Diversificação da </w:t>
      </w:r>
      <w:r>
        <w:rPr>
          <w:rFonts w:ascii="Arial" w:hAnsi="Arial" w:cs="Arial"/>
          <w:b/>
          <w:sz w:val="24"/>
          <w:szCs w:val="24"/>
        </w:rPr>
        <w:t>p</w:t>
      </w:r>
      <w:r w:rsidRPr="003A149C">
        <w:rPr>
          <w:rFonts w:ascii="Arial" w:hAnsi="Arial" w:cs="Arial"/>
          <w:b/>
          <w:sz w:val="24"/>
          <w:szCs w:val="24"/>
        </w:rPr>
        <w:t xml:space="preserve">rodução </w:t>
      </w:r>
      <w:r>
        <w:rPr>
          <w:rFonts w:ascii="Arial" w:hAnsi="Arial" w:cs="Arial"/>
          <w:b/>
          <w:sz w:val="24"/>
          <w:szCs w:val="24"/>
        </w:rPr>
        <w:t>a</w:t>
      </w:r>
      <w:r w:rsidRPr="003A149C">
        <w:rPr>
          <w:rFonts w:ascii="Arial" w:hAnsi="Arial" w:cs="Arial"/>
          <w:b/>
          <w:sz w:val="24"/>
          <w:szCs w:val="24"/>
        </w:rPr>
        <w:t>grícola de Itanhaém</w:t>
      </w:r>
    </w:p>
    <w:p w:rsidR="006B1A6A" w:rsidRDefault="006B1A6A" w:rsidP="00DD19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14544" cy="2871216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Imagem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544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9C" w:rsidRPr="003A149C" w:rsidRDefault="003A149C" w:rsidP="003A1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Faturamento médio por agricultor/dia da Feira </w:t>
      </w:r>
    </w:p>
    <w:p w:rsidR="003A149C" w:rsidRDefault="003A149C" w:rsidP="00DD19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151120" cy="2627376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cultor d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9C" w:rsidRDefault="003A149C" w:rsidP="00DD193A">
      <w:pPr>
        <w:jc w:val="both"/>
        <w:rPr>
          <w:rFonts w:ascii="Arial" w:hAnsi="Arial" w:cs="Arial"/>
          <w:sz w:val="24"/>
          <w:szCs w:val="24"/>
        </w:rPr>
      </w:pPr>
    </w:p>
    <w:p w:rsidR="003A149C" w:rsidRDefault="003A149C" w:rsidP="00DD193A">
      <w:pPr>
        <w:jc w:val="both"/>
        <w:rPr>
          <w:rFonts w:ascii="Arial" w:hAnsi="Arial" w:cs="Arial"/>
          <w:sz w:val="24"/>
          <w:szCs w:val="24"/>
        </w:rPr>
      </w:pPr>
    </w:p>
    <w:p w:rsidR="003A149C" w:rsidRDefault="003A149C" w:rsidP="00DD193A">
      <w:pPr>
        <w:jc w:val="both"/>
        <w:rPr>
          <w:rFonts w:ascii="Arial" w:hAnsi="Arial" w:cs="Arial"/>
          <w:sz w:val="24"/>
          <w:szCs w:val="24"/>
        </w:rPr>
      </w:pPr>
    </w:p>
    <w:p w:rsidR="003A149C" w:rsidRPr="003A149C" w:rsidRDefault="003A149C" w:rsidP="003A14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Propriedades rurais que aplicam técnicas agrícolas naturais</w:t>
      </w:r>
    </w:p>
    <w:p w:rsidR="003A149C" w:rsidRPr="001C53C8" w:rsidRDefault="003A149C" w:rsidP="00DD19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96256" cy="2590800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riedades rurai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256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49C" w:rsidRDefault="001C53C8" w:rsidP="003A149C">
      <w:pPr>
        <w:jc w:val="both"/>
        <w:rPr>
          <w:rFonts w:ascii="Arial" w:hAnsi="Arial" w:cs="Arial"/>
          <w:bCs/>
          <w:sz w:val="24"/>
          <w:szCs w:val="24"/>
        </w:rPr>
      </w:pPr>
      <w:r w:rsidRPr="001C53C8">
        <w:rPr>
          <w:rFonts w:ascii="Arial" w:hAnsi="Arial" w:cs="Arial"/>
          <w:b/>
          <w:bCs/>
          <w:sz w:val="24"/>
          <w:szCs w:val="24"/>
        </w:rPr>
        <w:t>Promoção da participação cidadã e controle social</w:t>
      </w:r>
      <w:r w:rsidR="003A149C">
        <w:rPr>
          <w:rFonts w:ascii="Arial" w:hAnsi="Arial" w:cs="Arial"/>
          <w:bCs/>
          <w:sz w:val="24"/>
          <w:szCs w:val="24"/>
        </w:rPr>
        <w:t xml:space="preserve"> – Após a implantação do projeto Feiras a população da área urbana da cidade procurou se inteirar mais sobre a vida no campo promovendo encontros na área rural do Município, valorizando a compra dos Agricultores e Pescadores de Itanhaém bem como incorporando a atividade rural como característica da cidade capaz de resgatar a cultura caiçara </w:t>
      </w:r>
      <w:proofErr w:type="spellStart"/>
      <w:r w:rsidR="003A149C">
        <w:rPr>
          <w:rFonts w:ascii="Arial" w:hAnsi="Arial" w:cs="Arial"/>
          <w:bCs/>
          <w:sz w:val="24"/>
          <w:szCs w:val="24"/>
        </w:rPr>
        <w:t>itanhaense</w:t>
      </w:r>
      <w:proofErr w:type="spellEnd"/>
      <w:r w:rsidR="003A149C">
        <w:rPr>
          <w:rFonts w:ascii="Arial" w:hAnsi="Arial" w:cs="Arial"/>
          <w:bCs/>
          <w:sz w:val="24"/>
          <w:szCs w:val="24"/>
        </w:rPr>
        <w:t>.</w:t>
      </w:r>
    </w:p>
    <w:p w:rsidR="001C53C8" w:rsidRDefault="003A149C" w:rsidP="0067742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Atualmente, os agricultores e pescadores participam mais efetivamente das decisões do Poder Público que impactam suas vidas, utilizam o Conselho como meio de proposição de </w:t>
      </w:r>
      <w:proofErr w:type="spellStart"/>
      <w:r>
        <w:rPr>
          <w:rFonts w:ascii="Arial" w:hAnsi="Arial" w:cs="Arial"/>
          <w:bCs/>
          <w:sz w:val="24"/>
          <w:szCs w:val="24"/>
        </w:rPr>
        <w:t>idéias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e como fiscalizador das ações dos Órgãos. </w:t>
      </w:r>
      <w:proofErr w:type="gramStart"/>
      <w:r>
        <w:rPr>
          <w:rFonts w:ascii="Arial" w:hAnsi="Arial" w:cs="Arial"/>
          <w:bCs/>
          <w:sz w:val="24"/>
          <w:szCs w:val="24"/>
        </w:rPr>
        <w:t>Se utilizam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da Associação como espaço para discussões do coletivo, como entidade de promoção de benefícios comum onde juntam esforços para realizarem as gestões do</w:t>
      </w:r>
      <w:r w:rsidR="0067742D">
        <w:rPr>
          <w:rFonts w:ascii="Arial" w:hAnsi="Arial" w:cs="Arial"/>
          <w:bCs/>
          <w:sz w:val="24"/>
          <w:szCs w:val="24"/>
        </w:rPr>
        <w:t>s Implementos Agrícolas de uso de todos.</w:t>
      </w:r>
    </w:p>
    <w:p w:rsidR="0067742D" w:rsidRPr="001C53C8" w:rsidRDefault="0067742D" w:rsidP="006774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100% dos agricultores e pescadores participantes do projeto se legalizaram perante a Receita Federal, constituindo CNPJ e Talão de Notas de Produtor Rural. Atualizaram seus dados, obtiveram documentos que já haviam perdido faz tempo, como RG e CPF e passaram a se sentir cidadãos incorporados a vida da cidade sem precisar largar a vida no campo.</w:t>
      </w:r>
    </w:p>
    <w:p w:rsidR="0067742D" w:rsidRPr="0067742D" w:rsidRDefault="0067742D" w:rsidP="0067742D">
      <w:pPr>
        <w:rPr>
          <w:rFonts w:ascii="Arial" w:hAnsi="Arial" w:cs="Arial"/>
          <w:sz w:val="24"/>
          <w:szCs w:val="24"/>
          <w:u w:val="single"/>
        </w:rPr>
      </w:pPr>
      <w:r w:rsidRPr="0067742D">
        <w:rPr>
          <w:rFonts w:ascii="Arial" w:hAnsi="Arial" w:cs="Arial"/>
          <w:b/>
          <w:bCs/>
          <w:sz w:val="24"/>
          <w:szCs w:val="24"/>
          <w:u w:val="single"/>
        </w:rPr>
        <w:t xml:space="preserve">Resumo da iniciativa </w:t>
      </w:r>
    </w:p>
    <w:p w:rsidR="00484942" w:rsidRDefault="00484942" w:rsidP="00484942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</w:t>
      </w:r>
      <w:r w:rsidRPr="00484942">
        <w:rPr>
          <w:rFonts w:ascii="Arial" w:hAnsi="Arial" w:cs="Arial"/>
          <w:sz w:val="24"/>
          <w:szCs w:val="24"/>
        </w:rPr>
        <w:t>esultado de um convênio assinado</w:t>
      </w:r>
      <w:r>
        <w:rPr>
          <w:rFonts w:ascii="Arial" w:hAnsi="Arial" w:cs="Arial"/>
          <w:sz w:val="24"/>
          <w:szCs w:val="24"/>
        </w:rPr>
        <w:t xml:space="preserve"> entre o Governo Federal e o Governo Municipal, o</w:t>
      </w:r>
      <w:r w:rsidRPr="00484942">
        <w:rPr>
          <w:rFonts w:ascii="Arial" w:hAnsi="Arial" w:cs="Arial"/>
          <w:sz w:val="24"/>
          <w:szCs w:val="24"/>
        </w:rPr>
        <w:t xml:space="preserve"> proj</w:t>
      </w:r>
      <w:r>
        <w:rPr>
          <w:rFonts w:ascii="Arial" w:hAnsi="Arial" w:cs="Arial"/>
          <w:sz w:val="24"/>
          <w:szCs w:val="24"/>
        </w:rPr>
        <w:t xml:space="preserve">eto Feiras objetiva implantar </w:t>
      </w:r>
      <w:r w:rsidRPr="00484942">
        <w:rPr>
          <w:rFonts w:ascii="Arial" w:hAnsi="Arial" w:cs="Arial"/>
          <w:sz w:val="24"/>
          <w:szCs w:val="24"/>
        </w:rPr>
        <w:t>um Equipamento de Abastecimento local, gera</w:t>
      </w:r>
      <w:r>
        <w:rPr>
          <w:rFonts w:ascii="Arial" w:hAnsi="Arial" w:cs="Arial"/>
          <w:sz w:val="24"/>
          <w:szCs w:val="24"/>
        </w:rPr>
        <w:t>r</w:t>
      </w:r>
      <w:r w:rsidRPr="00484942">
        <w:rPr>
          <w:rFonts w:ascii="Arial" w:hAnsi="Arial" w:cs="Arial"/>
          <w:sz w:val="24"/>
          <w:szCs w:val="24"/>
        </w:rPr>
        <w:t xml:space="preserve"> renda no campo, diversifica</w:t>
      </w:r>
      <w:r>
        <w:rPr>
          <w:rFonts w:ascii="Arial" w:hAnsi="Arial" w:cs="Arial"/>
          <w:sz w:val="24"/>
          <w:szCs w:val="24"/>
        </w:rPr>
        <w:t>r</w:t>
      </w:r>
      <w:r w:rsidRPr="00484942">
        <w:rPr>
          <w:rFonts w:ascii="Arial" w:hAnsi="Arial" w:cs="Arial"/>
          <w:sz w:val="24"/>
          <w:szCs w:val="24"/>
        </w:rPr>
        <w:t xml:space="preserve"> a produção agrícola, comercializa</w:t>
      </w:r>
      <w:r>
        <w:rPr>
          <w:rFonts w:ascii="Arial" w:hAnsi="Arial" w:cs="Arial"/>
          <w:sz w:val="24"/>
          <w:szCs w:val="24"/>
        </w:rPr>
        <w:t>r</w:t>
      </w:r>
      <w:r w:rsidRPr="00484942">
        <w:rPr>
          <w:rFonts w:ascii="Arial" w:hAnsi="Arial" w:cs="Arial"/>
          <w:sz w:val="24"/>
          <w:szCs w:val="24"/>
        </w:rPr>
        <w:t xml:space="preserve"> direta</w:t>
      </w:r>
      <w:r>
        <w:rPr>
          <w:rFonts w:ascii="Arial" w:hAnsi="Arial" w:cs="Arial"/>
          <w:sz w:val="24"/>
          <w:szCs w:val="24"/>
        </w:rPr>
        <w:t>mente</w:t>
      </w:r>
      <w:r w:rsidRPr="00484942">
        <w:rPr>
          <w:rFonts w:ascii="Arial" w:hAnsi="Arial" w:cs="Arial"/>
          <w:sz w:val="24"/>
          <w:szCs w:val="24"/>
        </w:rPr>
        <w:t xml:space="preserve"> os produtos da agricultura familiar e pesca artesanal, resgat</w:t>
      </w:r>
      <w:r>
        <w:rPr>
          <w:rFonts w:ascii="Arial" w:hAnsi="Arial" w:cs="Arial"/>
          <w:sz w:val="24"/>
          <w:szCs w:val="24"/>
        </w:rPr>
        <w:t>ar</w:t>
      </w:r>
      <w:r w:rsidRPr="00484942">
        <w:rPr>
          <w:rFonts w:ascii="Arial" w:hAnsi="Arial" w:cs="Arial"/>
          <w:sz w:val="24"/>
          <w:szCs w:val="24"/>
        </w:rPr>
        <w:t xml:space="preserve"> a cultura-culinária caiçara e </w:t>
      </w:r>
      <w:proofErr w:type="spellStart"/>
      <w:r>
        <w:rPr>
          <w:rFonts w:ascii="Arial" w:hAnsi="Arial" w:cs="Arial"/>
          <w:sz w:val="24"/>
          <w:szCs w:val="24"/>
        </w:rPr>
        <w:t>estímular</w:t>
      </w:r>
      <w:proofErr w:type="spellEnd"/>
      <w:r w:rsidRPr="00484942">
        <w:rPr>
          <w:rFonts w:ascii="Arial" w:hAnsi="Arial" w:cs="Arial"/>
          <w:sz w:val="24"/>
          <w:szCs w:val="24"/>
        </w:rPr>
        <w:t xml:space="preserve"> a prática de agricultura orgânica.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84942" w:rsidRPr="0067742D" w:rsidRDefault="00484942" w:rsidP="0048494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Hoje, o agricultor promove um cultivo mais orgânico, tem maior geração de renda, se sente parte da vida do Município e sente orgulho de trabalhar no campo e contribuir com uma alimentação saudável ao </w:t>
      </w:r>
      <w:proofErr w:type="spellStart"/>
      <w:r>
        <w:rPr>
          <w:rFonts w:ascii="Arial" w:hAnsi="Arial" w:cs="Arial"/>
          <w:sz w:val="24"/>
          <w:szCs w:val="24"/>
        </w:rPr>
        <w:t>Itanhaense</w:t>
      </w:r>
      <w:proofErr w:type="spellEnd"/>
      <w:r>
        <w:rPr>
          <w:rFonts w:ascii="Arial" w:hAnsi="Arial" w:cs="Arial"/>
          <w:sz w:val="24"/>
          <w:szCs w:val="24"/>
        </w:rPr>
        <w:t xml:space="preserve"> e turistas.</w:t>
      </w:r>
      <w:bookmarkEnd w:id="0"/>
    </w:p>
    <w:sectPr w:rsidR="00484942" w:rsidRPr="006774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7B"/>
    <w:rsid w:val="001C53C8"/>
    <w:rsid w:val="003A149C"/>
    <w:rsid w:val="00484942"/>
    <w:rsid w:val="0067742D"/>
    <w:rsid w:val="006B1A6A"/>
    <w:rsid w:val="00AA3F7D"/>
    <w:rsid w:val="00BC4620"/>
    <w:rsid w:val="00D12A66"/>
    <w:rsid w:val="00DD193A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6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2A6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1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A6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12A6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1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9557C-470F-4814-99FF-02165B70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1720</Words>
  <Characters>10016</Characters>
  <Application>Microsoft Office Word</Application>
  <DocSecurity>0</DocSecurity>
  <Lines>208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e Audrey</dc:creator>
  <cp:lastModifiedBy>Junior e Audrey</cp:lastModifiedBy>
  <cp:revision>2</cp:revision>
  <dcterms:created xsi:type="dcterms:W3CDTF">2014-02-28T19:30:00Z</dcterms:created>
  <dcterms:modified xsi:type="dcterms:W3CDTF">2014-03-01T02:17:00Z</dcterms:modified>
</cp:coreProperties>
</file>